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255"/>
          <w:numId w:val="0"/>
        </w:numPr>
        <w:spacing w:line="360" w:lineRule="auto"/>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一、采购标的：</w:t>
      </w:r>
    </w:p>
    <w:tbl>
      <w:tblPr>
        <w:tblStyle w:val="5"/>
        <w:tblW w:w="9595"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17"/>
        <w:gridCol w:w="2070"/>
        <w:gridCol w:w="675"/>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38"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包号</w:t>
            </w:r>
          </w:p>
        </w:tc>
        <w:tc>
          <w:tcPr>
            <w:tcW w:w="3417"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标的名称</w:t>
            </w:r>
          </w:p>
        </w:tc>
        <w:tc>
          <w:tcPr>
            <w:tcW w:w="2070"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采购包预算金额</w:t>
            </w:r>
          </w:p>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675"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数量</w:t>
            </w:r>
          </w:p>
        </w:tc>
        <w:tc>
          <w:tcPr>
            <w:tcW w:w="2595" w:type="dxa"/>
            <w:vAlign w:val="center"/>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38"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01</w:t>
            </w:r>
          </w:p>
        </w:tc>
        <w:tc>
          <w:tcPr>
            <w:tcW w:w="3417"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color w:val="auto"/>
                <w:sz w:val="24"/>
                <w:highlight w:val="none"/>
              </w:rPr>
              <w:t>常州市钟楼区住房和城乡建设局关于202</w:t>
            </w:r>
            <w:r>
              <w:rPr>
                <w:rFonts w:ascii="仿宋" w:hAnsi="仿宋" w:eastAsia="仿宋" w:cs="仿宋"/>
                <w:color w:val="auto"/>
                <w:sz w:val="24"/>
                <w:highlight w:val="none"/>
              </w:rPr>
              <w:t>4</w:t>
            </w:r>
            <w:r>
              <w:rPr>
                <w:rFonts w:hint="eastAsia" w:ascii="仿宋" w:hAnsi="仿宋" w:eastAsia="仿宋" w:cs="仿宋"/>
                <w:color w:val="auto"/>
                <w:sz w:val="24"/>
                <w:highlight w:val="none"/>
              </w:rPr>
              <w:t>年政府项目前期国土咨询调查服务（一标包）</w:t>
            </w:r>
          </w:p>
        </w:tc>
        <w:tc>
          <w:tcPr>
            <w:tcW w:w="2070"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14.4</w:t>
            </w:r>
          </w:p>
        </w:tc>
        <w:tc>
          <w:tcPr>
            <w:tcW w:w="675"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595" w:type="dxa"/>
            <w:vMerge w:val="restart"/>
            <w:vAlign w:val="center"/>
          </w:tcPr>
          <w:p>
            <w:pPr>
              <w:spacing w:line="440" w:lineRule="exact"/>
              <w:rPr>
                <w:rFonts w:ascii="仿宋" w:hAnsi="仿宋" w:eastAsia="仿宋" w:cs="仿宋"/>
                <w:color w:val="auto"/>
                <w:kern w:val="0"/>
                <w:sz w:val="24"/>
                <w:highlight w:val="none"/>
              </w:rPr>
            </w:pPr>
            <w:r>
              <w:rPr>
                <w:rFonts w:hint="eastAsia" w:ascii="仿宋" w:hAnsi="仿宋" w:eastAsia="仿宋" w:cs="仿宋"/>
                <w:color w:val="auto"/>
                <w:sz w:val="28"/>
                <w:szCs w:val="28"/>
                <w:highlight w:val="none"/>
              </w:rPr>
              <w:t>包含整年度各类政府项目前期咨询、未征地供地图斑提取、叠加城规土规分析、涉林情况、三调现状、不动产调取等。提供相关CAD成果，图件、图层成果及书面报告成果等。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838"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02</w:t>
            </w:r>
          </w:p>
        </w:tc>
        <w:tc>
          <w:tcPr>
            <w:tcW w:w="3417" w:type="dxa"/>
            <w:vAlign w:val="center"/>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常州市钟楼区住房和城乡建设局关于202</w:t>
            </w:r>
            <w:r>
              <w:rPr>
                <w:rFonts w:ascii="仿宋" w:hAnsi="仿宋" w:eastAsia="仿宋" w:cs="仿宋"/>
                <w:color w:val="auto"/>
                <w:sz w:val="24"/>
                <w:highlight w:val="none"/>
              </w:rPr>
              <w:t>4</w:t>
            </w:r>
            <w:r>
              <w:rPr>
                <w:rFonts w:hint="eastAsia" w:ascii="仿宋" w:hAnsi="仿宋" w:eastAsia="仿宋" w:cs="仿宋"/>
                <w:color w:val="auto"/>
                <w:sz w:val="24"/>
                <w:highlight w:val="none"/>
              </w:rPr>
              <w:t>年政府项目前期国土咨询调查服务（二标包）</w:t>
            </w:r>
          </w:p>
        </w:tc>
        <w:tc>
          <w:tcPr>
            <w:tcW w:w="2070"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14.4</w:t>
            </w:r>
          </w:p>
        </w:tc>
        <w:tc>
          <w:tcPr>
            <w:tcW w:w="675" w:type="dxa"/>
            <w:vAlign w:val="center"/>
          </w:tcPr>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2595" w:type="dxa"/>
            <w:vMerge w:val="continue"/>
            <w:vAlign w:val="center"/>
          </w:tcPr>
          <w:p>
            <w:pPr>
              <w:spacing w:line="440" w:lineRule="exact"/>
              <w:rPr>
                <w:rFonts w:ascii="仿宋" w:hAnsi="仿宋" w:eastAsia="仿宋" w:cs="仿宋"/>
                <w:color w:val="auto"/>
                <w:kern w:val="0"/>
                <w:sz w:val="24"/>
                <w:highlight w:val="none"/>
              </w:rPr>
            </w:pPr>
          </w:p>
        </w:tc>
      </w:tr>
    </w:tbl>
    <w:p>
      <w:pPr>
        <w:pStyle w:val="7"/>
        <w:numPr>
          <w:ilvl w:val="255"/>
          <w:numId w:val="0"/>
        </w:numPr>
        <w:spacing w:line="360" w:lineRule="auto"/>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二、商务要求：</w:t>
      </w:r>
    </w:p>
    <w:p>
      <w:pPr>
        <w:spacing w:line="440" w:lineRule="exact"/>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1.实施的期限和范围：</w:t>
      </w:r>
    </w:p>
    <w:p>
      <w:pPr>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1.1实施的期限：一年。自合同签订生效之日起计。</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1.2实施的范围：常州市钟楼区住房和城乡建设局2024年政府项目。</w:t>
      </w:r>
    </w:p>
    <w:p>
      <w:pPr>
        <w:pStyle w:val="4"/>
        <w:numPr>
          <w:ilvl w:val="255"/>
          <w:numId w:val="0"/>
        </w:numPr>
        <w:ind w:firstLine="480"/>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rPr>
        <w:t>.承包方式：固定全费用单价，按时结算。</w:t>
      </w:r>
    </w:p>
    <w:p>
      <w:pPr>
        <w:pStyle w:val="3"/>
        <w:snapToGrid w:val="0"/>
        <w:spacing w:line="440" w:lineRule="exact"/>
        <w:ind w:firstLine="480" w:firstLineChars="20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注：本次招标为年度集约化招标，实际工作量与目前暂估量会有差异，请投标人报价时综合考虑，后期不接受任何理由的价格调增。一年服务期满或服务期内2家成交供应商单签合同费用合并累计达</w:t>
      </w:r>
      <w:r>
        <w:rPr>
          <w:rFonts w:ascii="仿宋" w:hAnsi="仿宋" w:eastAsia="仿宋" w:cs="仿宋"/>
          <w:color w:val="auto"/>
          <w:kern w:val="2"/>
          <w:szCs w:val="24"/>
          <w:highlight w:val="none"/>
        </w:rPr>
        <w:t>28.8</w:t>
      </w:r>
      <w:r>
        <w:rPr>
          <w:rFonts w:hint="eastAsia" w:ascii="仿宋" w:hAnsi="仿宋" w:eastAsia="仿宋" w:cs="仿宋"/>
          <w:color w:val="auto"/>
          <w:kern w:val="2"/>
          <w:szCs w:val="24"/>
          <w:highlight w:val="none"/>
        </w:rPr>
        <w:t>万元，以任一先到为止，该项目自动终止，需另行招标。合同履行初期采购人将按照平均分配原则进行项目委托，若后期采购人认为2家成交供应商配合等不好的，采购人有权对工作分配进行调整，甚至经采购人多次要求整改未果的，采购人有权提前解除合同，中标人不得有异议。</w:t>
      </w:r>
    </w:p>
    <w:p>
      <w:pPr>
        <w:pStyle w:val="3"/>
        <w:snapToGrid w:val="0"/>
        <w:spacing w:line="440" w:lineRule="exact"/>
        <w:ind w:firstLine="480" w:firstLineChars="200"/>
        <w:rPr>
          <w:rFonts w:ascii="Times New Roman"/>
          <w:color w:val="auto"/>
          <w:szCs w:val="24"/>
          <w:highlight w:val="none"/>
        </w:rPr>
      </w:pPr>
      <w:r>
        <w:rPr>
          <w:rFonts w:ascii="仿宋" w:hAnsi="仿宋" w:eastAsia="仿宋" w:cs="仿宋"/>
          <w:color w:val="auto"/>
          <w:kern w:val="2"/>
          <w:szCs w:val="24"/>
          <w:highlight w:val="none"/>
        </w:rPr>
        <w:t>3</w:t>
      </w:r>
      <w:r>
        <w:rPr>
          <w:rFonts w:hint="eastAsia" w:ascii="仿宋" w:hAnsi="仿宋" w:eastAsia="仿宋" w:cs="仿宋"/>
          <w:color w:val="auto"/>
          <w:kern w:val="2"/>
          <w:szCs w:val="24"/>
          <w:highlight w:val="none"/>
        </w:rPr>
        <w:t>.报价组成：本项目报价包括采购文件所确定的采购范围相应服务咨询费用，包括但不限于提供技术服务费、咨询服务人员相关费用（服务费、交通费、通讯费、补贴和福利等）、办公场所及设施、设备、保险、劳保、以及可能涉及的相关查询调研费、管理、利润、规费、税金、政策性文件规定及合同包含的所有风险、责任等各项应有费用，以及为完成该项服务项目所涉及到的一切相关费用。</w:t>
      </w:r>
    </w:p>
    <w:p>
      <w:pPr>
        <w:spacing w:line="440" w:lineRule="exact"/>
        <w:ind w:firstLine="482" w:firstLineChars="200"/>
        <w:contextualSpacing/>
        <w:rPr>
          <w:rFonts w:ascii="仿宋" w:hAnsi="仿宋" w:eastAsia="仿宋" w:cs="仿宋"/>
          <w:b/>
          <w:bCs/>
          <w:color w:val="auto"/>
          <w:sz w:val="24"/>
          <w:highlight w:val="none"/>
        </w:rPr>
      </w:pPr>
      <w:r>
        <w:rPr>
          <w:rFonts w:ascii="仿宋" w:hAnsi="仿宋" w:eastAsia="仿宋" w:cs="仿宋"/>
          <w:b/>
          <w:bCs/>
          <w:color w:val="auto"/>
          <w:sz w:val="24"/>
          <w:highlight w:val="none"/>
        </w:rPr>
        <w:t>4</w:t>
      </w:r>
      <w:r>
        <w:rPr>
          <w:rFonts w:hint="eastAsia" w:ascii="仿宋" w:hAnsi="仿宋" w:eastAsia="仿宋" w:cs="仿宋"/>
          <w:b/>
          <w:bCs/>
          <w:color w:val="auto"/>
          <w:sz w:val="24"/>
          <w:highlight w:val="none"/>
        </w:rPr>
        <w:t>.付款方式：</w:t>
      </w:r>
    </w:p>
    <w:p>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5.1本项目为年度集约化采购，为了保证成本归集原则，具体项目实施时由采购人按项目分别出具委托单给成交供应商，每季度申报一次结算，下季度的第一个月申报上一季度完成服务的工程量清单等结算资料，经采购人确认并按项目分别完成结算。结算完成且收到成交供应商开具合格有效增值税发票后，采购人全额支付上季度的服务费用。（一年服务期满或服务期内2家成交供应商单签合同费用合并累计达</w:t>
      </w:r>
      <w:r>
        <w:rPr>
          <w:rFonts w:ascii="仿宋" w:hAnsi="仿宋" w:eastAsia="仿宋" w:cs="仿宋"/>
          <w:color w:val="auto"/>
          <w:sz w:val="24"/>
          <w:highlight w:val="none"/>
        </w:rPr>
        <w:t>28.8</w:t>
      </w:r>
      <w:r>
        <w:rPr>
          <w:rFonts w:hint="eastAsia" w:ascii="仿宋" w:hAnsi="仿宋" w:eastAsia="仿宋" w:cs="仿宋"/>
          <w:color w:val="auto"/>
          <w:sz w:val="24"/>
          <w:highlight w:val="none"/>
        </w:rPr>
        <w:t>万元，以任一先到为止，该项目自动终止，需另行招标。）</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5.2成交供应商须在开具增值税专用发票之日起15天内将增值税专用发票送达采购人，采购人签收增值税专用发票的日期为增值税专用发票的送达或签收日期。成交供应商开具的增值税专用发票不合格的，应在接到采购人要求后的15天内重新开具合格的增值税专用发票并送达至采购人，成交供应商自行承担相关费用。</w:t>
      </w:r>
    </w:p>
    <w:p>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6.项目预算、限价金额：</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项目预算金额：人民币28.8万元</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项目最高限价：项目最高投标单价限价</w:t>
      </w:r>
      <w:r>
        <w:rPr>
          <w:rFonts w:ascii="仿宋" w:hAnsi="仿宋" w:eastAsia="仿宋" w:cs="仿宋"/>
          <w:color w:val="auto"/>
          <w:sz w:val="24"/>
          <w:highlight w:val="none"/>
        </w:rPr>
        <w:t>4000</w:t>
      </w:r>
      <w:r>
        <w:rPr>
          <w:rFonts w:hint="eastAsia" w:ascii="仿宋" w:hAnsi="仿宋" w:eastAsia="仿宋" w:cs="仿宋"/>
          <w:color w:val="auto"/>
          <w:sz w:val="24"/>
          <w:highlight w:val="none"/>
        </w:rPr>
        <w:t>.00元/项目，超过最高投标单价限价为无效响应。</w:t>
      </w:r>
    </w:p>
    <w:p>
      <w:pPr>
        <w:pStyle w:val="7"/>
        <w:spacing w:line="360" w:lineRule="auto"/>
        <w:ind w:firstLine="0" w:firstLineChars="0"/>
        <w:contextualSpacing/>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三、技术要求：</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1.服务内容：</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包含整年度各类政府项目前期咨询、未征地供地图斑提取、叠加城规土规分析、涉林情况、三调现状、不动产调取等。提供相关CAD成果，图件、图层成果及书面报告成果等。</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2.服务要求：</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2.1成交供应商在本项目实施过程中负责主体实施，采购人负责协调配合成交供应商完成本项目。</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2.2成交供应商因完成本项目获得的数据、相关部门提供的素材和文本的知识产权均归采购人所有，成交供应商对咨询服务过程中获得的各类数据、信息均负有保密义务，未经采购人事先书面同意不得对外发布或使用，此项保密义务长期有效。</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2.3如出现成交供应商自身管理或沟通不利使员工通过各类渠道或以其他方式对采购人的声誉造成不利影响，以及因成交供应商服务质量或员工素质等原因有损采购人的社会公众形象、口碑等情况，成交供应商必须第一时间负责将不利影响降到最低并及时妥善处理，同时承担由此造成的声誉损失后果。采购人保留从经济、法律或其他形式向成交供应商追究责任的权利。</w:t>
      </w:r>
    </w:p>
    <w:p>
      <w:pPr>
        <w:spacing w:line="440" w:lineRule="exact"/>
        <w:ind w:firstLine="240" w:firstLineChars="100"/>
        <w:contextualSpacing/>
        <w:jc w:val="left"/>
        <w:rPr>
          <w:rFonts w:ascii="仿宋" w:hAnsi="仿宋" w:eastAsia="仿宋" w:cs="仿宋"/>
          <w:b/>
          <w:color w:val="auto"/>
          <w:sz w:val="44"/>
          <w:szCs w:val="21"/>
          <w:highlight w:val="none"/>
        </w:rPr>
      </w:pPr>
      <w:r>
        <w:rPr>
          <w:rFonts w:hint="eastAsia" w:ascii="仿宋" w:hAnsi="仿宋" w:eastAsia="仿宋" w:cs="仿宋"/>
          <w:color w:val="auto"/>
          <w:sz w:val="24"/>
          <w:highlight w:val="none"/>
        </w:rPr>
        <w:t>2.4成交供应商擅自将服务合同分包、转包给第三人的或委托其他单位实施的，以及成交供应商违反法律法规、规章或其他相关规范性文件的规定，影响合同履行的，采购人有权单方面终止本项目合同而无须向成交供应商支付任何费用或承担其他任何责任，由此产生的经济损失和法律责任均由成交供应商承担。</w:t>
      </w:r>
    </w:p>
    <w:p>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3.人员要求：</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成交供应商应根据项目具体情况组建相关项目经验丰富的成熟专业团队承担本次项目工作任务。工作成果应符合相关规范要求。如在工作过程中需更换项目负责人,成交供应商须征得采购人同意。</w:t>
      </w:r>
    </w:p>
    <w:p>
      <w:pPr>
        <w:spacing w:line="440" w:lineRule="exact"/>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成交供应商应积极配合采购人的工作安排，根据项目进度计划交付成果（当出现有关交付文档顺延的情况除外），对提交成果的深度、及时性、完整性、正确性等负责。</w:t>
      </w:r>
    </w:p>
    <w:p>
      <w:pPr>
        <w:jc w:val="center"/>
        <w:rPr>
          <w:rFonts w:ascii="仿宋" w:hAnsi="仿宋" w:eastAsia="仿宋" w:cs="仿宋"/>
          <w:b/>
          <w:color w:val="auto"/>
          <w:sz w:val="44"/>
          <w:szCs w:val="21"/>
          <w:highlight w:val="none"/>
        </w:rPr>
      </w:pPr>
    </w:p>
    <w:p>
      <w:pPr>
        <w:jc w:val="left"/>
        <w:rPr>
          <w:rFonts w:ascii="仿宋" w:hAnsi="仿宋" w:eastAsia="仿宋" w:cs="仿宋"/>
          <w:b/>
          <w:color w:val="auto"/>
          <w:sz w:val="44"/>
          <w:szCs w:val="21"/>
          <w:highlight w:val="none"/>
        </w:rPr>
      </w:pPr>
      <w:r>
        <w:rPr>
          <w:rFonts w:hint="eastAsia" w:ascii="仿宋" w:hAnsi="仿宋" w:eastAsia="仿宋" w:cs="仿宋"/>
          <w:b/>
          <w:color w:val="auto"/>
          <w:sz w:val="44"/>
          <w:szCs w:val="21"/>
          <w:highlight w:val="none"/>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6F5F60BB"/>
    <w:rsid w:val="6F5F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Body Text First Indent 2"/>
    <w:basedOn w:val="1"/>
    <w:next w:val="1"/>
    <w:qFormat/>
    <w:uiPriority w:val="0"/>
    <w:pPr>
      <w:ind w:firstLine="420" w:firstLineChars="200"/>
    </w:p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2024-06-12T05:28:00Z</dcterms:created>
  <dc:creator>左学文</dc:creator>
  <cp:lastModifiedBy>左学文</cp:lastModifiedBy>
  <dcterms:modified xsi:type="dcterms:W3CDTF">2024-06-12T05:28:44Z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E743E9BA6BCA43D39886305A3D9C2FE3_11</vt:lpwstr>
  </property>
</Properties>
</file>