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rPr>
        <w:t>常州市钟楼区住房和城乡建设局关于2024年政府项目前期国土咨询调查服务</w:t>
      </w:r>
      <w:r>
        <w:rPr>
          <w:rFonts w:hint="eastAsia" w:ascii="仿宋" w:hAnsi="仿宋" w:eastAsia="仿宋" w:cs="仿宋"/>
          <w:b/>
          <w:bCs/>
          <w:color w:val="auto"/>
          <w:sz w:val="40"/>
          <w:szCs w:val="40"/>
          <w:highlight w:val="none"/>
          <w:lang w:val="en-US" w:eastAsia="zh-CN"/>
        </w:rPr>
        <w:t>项目</w:t>
      </w:r>
    </w:p>
    <w:p>
      <w:pPr>
        <w:tabs>
          <w:tab w:val="left" w:pos="4140"/>
          <w:tab w:val="left" w:pos="5812"/>
        </w:tabs>
        <w:spacing w:before="1092" w:beforeLines="350" w:line="360" w:lineRule="auto"/>
        <w:ind w:right="-198"/>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项目编号:ZYJS-SC2024063</w:t>
      </w:r>
    </w:p>
    <w:p>
      <w:pPr>
        <w:autoSpaceDE w:val="0"/>
        <w:autoSpaceDN w:val="0"/>
        <w:adjustRightInd w:val="0"/>
        <w:spacing w:line="200" w:lineRule="exact"/>
        <w:jc w:val="left"/>
        <w:rPr>
          <w:rFonts w:ascii="仿宋" w:hAnsi="仿宋" w:eastAsia="仿宋" w:cs="仿宋"/>
          <w:color w:val="auto"/>
          <w:kern w:val="0"/>
          <w:sz w:val="20"/>
          <w:szCs w:val="20"/>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spacing w:after="156" w:afterLines="50"/>
        <w:jc w:val="center"/>
        <w:rPr>
          <w:rFonts w:ascii="仿宋" w:hAnsi="仿宋" w:eastAsia="仿宋" w:cs="仿宋"/>
          <w:b/>
          <w:color w:val="auto"/>
          <w:spacing w:val="40"/>
          <w:sz w:val="84"/>
          <w:szCs w:val="84"/>
          <w:highlight w:val="none"/>
        </w:rPr>
      </w:pPr>
      <w:r>
        <w:rPr>
          <w:rFonts w:hint="eastAsia" w:ascii="仿宋" w:hAnsi="仿宋" w:eastAsia="仿宋" w:cs="仿宋"/>
          <w:b/>
          <w:color w:val="auto"/>
          <w:spacing w:val="40"/>
          <w:sz w:val="84"/>
          <w:szCs w:val="84"/>
          <w:highlight w:val="none"/>
        </w:rPr>
        <w:t>竞争性磋商文件</w:t>
      </w:r>
    </w:p>
    <w:p>
      <w:pPr>
        <w:jc w:val="center"/>
        <w:rPr>
          <w:rFonts w:ascii="仿宋" w:hAnsi="仿宋" w:eastAsia="仿宋" w:cs="仿宋"/>
          <w:b/>
          <w:color w:val="auto"/>
          <w:kern w:val="0"/>
          <w:sz w:val="32"/>
          <w:szCs w:val="32"/>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pStyle w:val="10"/>
        <w:rPr>
          <w:rFonts w:ascii="仿宋" w:hAnsi="仿宋" w:eastAsia="仿宋" w:cs="仿宋"/>
          <w:color w:val="auto"/>
          <w:kern w:val="0"/>
          <w:sz w:val="20"/>
          <w:highlight w:val="none"/>
        </w:rPr>
      </w:pPr>
    </w:p>
    <w:p>
      <w:pPr>
        <w:pStyle w:val="2"/>
        <w:rPr>
          <w:rFonts w:ascii="仿宋" w:hAnsi="仿宋" w:eastAsia="仿宋" w:cs="仿宋"/>
          <w:color w:val="auto"/>
          <w:sz w:val="20"/>
          <w:szCs w:val="20"/>
          <w:highlight w:val="none"/>
        </w:rPr>
      </w:pPr>
    </w:p>
    <w:p>
      <w:pPr>
        <w:pStyle w:val="2"/>
        <w:rPr>
          <w:rFonts w:ascii="仿宋" w:hAnsi="仿宋" w:eastAsia="仿宋" w:cs="仿宋"/>
          <w:color w:val="auto"/>
          <w:sz w:val="20"/>
          <w:szCs w:val="20"/>
          <w:highlight w:val="none"/>
        </w:rPr>
      </w:pPr>
    </w:p>
    <w:p>
      <w:pPr>
        <w:pStyle w:val="2"/>
        <w:rPr>
          <w:rFonts w:ascii="仿宋" w:hAnsi="仿宋" w:eastAsia="仿宋" w:cs="仿宋"/>
          <w:color w:val="auto"/>
          <w:sz w:val="20"/>
          <w:szCs w:val="20"/>
          <w:highlight w:val="none"/>
        </w:rPr>
      </w:pPr>
    </w:p>
    <w:p>
      <w:pPr>
        <w:autoSpaceDE w:val="0"/>
        <w:autoSpaceDN w:val="0"/>
        <w:adjustRightInd w:val="0"/>
        <w:spacing w:line="200" w:lineRule="exact"/>
        <w:jc w:val="left"/>
        <w:rPr>
          <w:rFonts w:ascii="仿宋" w:hAnsi="仿宋" w:eastAsia="仿宋" w:cs="仿宋"/>
          <w:color w:val="auto"/>
          <w:kern w:val="0"/>
          <w:sz w:val="20"/>
          <w:szCs w:val="20"/>
          <w:highlight w:val="none"/>
        </w:rPr>
      </w:pPr>
    </w:p>
    <w:p>
      <w:pPr>
        <w:adjustRightInd w:val="0"/>
        <w:snapToGrid w:val="0"/>
        <w:spacing w:line="600" w:lineRule="exact"/>
        <w:jc w:val="left"/>
        <w:rPr>
          <w:rFonts w:ascii="仿宋" w:hAnsi="仿宋" w:eastAsia="仿宋" w:cs="仿宋"/>
          <w:b/>
          <w:bCs/>
          <w:color w:val="auto"/>
          <w:spacing w:val="40"/>
          <w:sz w:val="30"/>
          <w:szCs w:val="30"/>
          <w:highlight w:val="none"/>
        </w:rPr>
      </w:pPr>
      <w:r>
        <w:rPr>
          <w:rFonts w:hint="eastAsia" w:ascii="仿宋" w:hAnsi="仿宋" w:eastAsia="仿宋" w:cs="仿宋"/>
          <w:b/>
          <w:bCs/>
          <w:color w:val="auto"/>
          <w:spacing w:val="40"/>
          <w:sz w:val="30"/>
          <w:szCs w:val="30"/>
          <w:highlight w:val="none"/>
        </w:rPr>
        <w:t>采 购 人：常州市钟楼区住房和城乡建设局</w:t>
      </w:r>
    </w:p>
    <w:p>
      <w:pPr>
        <w:adjustRightInd w:val="0"/>
        <w:snapToGrid w:val="0"/>
        <w:spacing w:line="600" w:lineRule="exact"/>
        <w:rPr>
          <w:rFonts w:ascii="仿宋" w:hAnsi="仿宋" w:eastAsia="仿宋" w:cs="仿宋"/>
          <w:b/>
          <w:bCs/>
          <w:color w:val="auto"/>
          <w:spacing w:val="40"/>
          <w:sz w:val="30"/>
          <w:szCs w:val="30"/>
          <w:highlight w:val="none"/>
        </w:rPr>
      </w:pPr>
      <w:r>
        <w:rPr>
          <w:rFonts w:hint="eastAsia" w:ascii="仿宋" w:hAnsi="仿宋" w:eastAsia="仿宋" w:cs="仿宋"/>
          <w:b/>
          <w:bCs/>
          <w:color w:val="auto"/>
          <w:spacing w:val="40"/>
          <w:sz w:val="30"/>
          <w:szCs w:val="30"/>
          <w:highlight w:val="none"/>
        </w:rPr>
        <w:t>采购代理机构：常州中宇建设工程管理有限公司</w:t>
      </w:r>
    </w:p>
    <w:p>
      <w:pPr>
        <w:adjustRightInd w:val="0"/>
        <w:snapToGrid w:val="0"/>
        <w:spacing w:line="600" w:lineRule="exact"/>
        <w:rPr>
          <w:rFonts w:ascii="仿宋" w:hAnsi="仿宋" w:eastAsia="仿宋" w:cs="仿宋"/>
          <w:b/>
          <w:bCs/>
          <w:color w:val="auto"/>
          <w:spacing w:val="40"/>
          <w:sz w:val="30"/>
          <w:szCs w:val="30"/>
          <w:highlight w:val="none"/>
        </w:rPr>
      </w:pPr>
    </w:p>
    <w:p>
      <w:pPr>
        <w:adjustRightInd w:val="0"/>
        <w:snapToGrid w:val="0"/>
        <w:spacing w:line="600" w:lineRule="exact"/>
        <w:jc w:val="center"/>
        <w:rPr>
          <w:rFonts w:ascii="仿宋" w:hAnsi="仿宋" w:eastAsia="仿宋" w:cs="仿宋"/>
          <w:b/>
          <w:color w:val="auto"/>
          <w:spacing w:val="40"/>
          <w:sz w:val="30"/>
          <w:szCs w:val="30"/>
          <w:highlight w:val="none"/>
        </w:rPr>
      </w:pPr>
      <w:bookmarkStart w:id="0" w:name="_Toc463253080"/>
      <w:r>
        <w:rPr>
          <w:rFonts w:hint="eastAsia" w:ascii="仿宋" w:hAnsi="仿宋" w:eastAsia="仿宋" w:cs="仿宋"/>
          <w:b/>
          <w:bCs/>
          <w:color w:val="auto"/>
          <w:spacing w:val="40"/>
          <w:sz w:val="30"/>
          <w:szCs w:val="30"/>
          <w:highlight w:val="none"/>
        </w:rPr>
        <w:t>二〇二四年五月</w:t>
      </w:r>
    </w:p>
    <w:p>
      <w:pPr>
        <w:spacing w:line="480" w:lineRule="auto"/>
        <w:jc w:val="center"/>
        <w:outlineLvl w:val="0"/>
        <w:rPr>
          <w:rFonts w:ascii="仿宋" w:hAnsi="仿宋" w:eastAsia="仿宋" w:cs="仿宋"/>
          <w:b/>
          <w:color w:val="auto"/>
          <w:sz w:val="36"/>
          <w:szCs w:val="36"/>
          <w:highlight w:val="none"/>
        </w:rPr>
      </w:pPr>
    </w:p>
    <w:p>
      <w:pPr>
        <w:pStyle w:val="10"/>
        <w:rPr>
          <w:rFonts w:ascii="仿宋" w:hAnsi="仿宋" w:eastAsia="仿宋" w:cs="仿宋"/>
          <w:b/>
          <w:color w:val="auto"/>
          <w:sz w:val="36"/>
          <w:szCs w:val="36"/>
          <w:highlight w:val="none"/>
        </w:rPr>
      </w:pPr>
    </w:p>
    <w:p>
      <w:pPr>
        <w:rPr>
          <w:color w:val="auto"/>
          <w:highlight w:val="none"/>
        </w:rPr>
      </w:pPr>
    </w:p>
    <w:p>
      <w:pPr>
        <w:rPr>
          <w:rFonts w:ascii="仿宋" w:hAnsi="仿宋" w:eastAsia="仿宋" w:cs="仿宋"/>
          <w:color w:val="auto"/>
          <w:highlight w:val="none"/>
        </w:rPr>
      </w:pPr>
    </w:p>
    <w:p>
      <w:pPr>
        <w:pStyle w:val="22"/>
        <w:rPr>
          <w:rFonts w:ascii="仿宋" w:hAnsi="仿宋" w:eastAsia="仿宋" w:cs="仿宋"/>
          <w:color w:val="auto"/>
          <w:highlight w:val="none"/>
        </w:rPr>
      </w:pPr>
    </w:p>
    <w:p>
      <w:pPr>
        <w:spacing w:line="480" w:lineRule="auto"/>
        <w:outlineLvl w:val="0"/>
        <w:rPr>
          <w:rFonts w:ascii="仿宋" w:hAnsi="仿宋" w:eastAsia="仿宋" w:cs="仿宋"/>
          <w:b/>
          <w:color w:val="auto"/>
          <w:sz w:val="36"/>
          <w:szCs w:val="36"/>
          <w:highlight w:val="none"/>
        </w:rPr>
      </w:pPr>
    </w:p>
    <w:p>
      <w:pPr>
        <w:spacing w:line="480" w:lineRule="auto"/>
        <w:jc w:val="center"/>
        <w:outlineLvl w:val="0"/>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总  目  录</w:t>
      </w:r>
      <w:bookmarkEnd w:id="0"/>
    </w:p>
    <w:p>
      <w:pPr>
        <w:spacing w:line="480" w:lineRule="auto"/>
        <w:rPr>
          <w:rFonts w:ascii="仿宋" w:hAnsi="仿宋" w:eastAsia="仿宋" w:cs="仿宋"/>
          <w:b/>
          <w:color w:val="auto"/>
          <w:sz w:val="28"/>
          <w:highlight w:val="none"/>
        </w:rPr>
      </w:pPr>
    </w:p>
    <w:p>
      <w:pPr>
        <w:pStyle w:val="18"/>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"1-1"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竞争性磋商公告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1</w:t>
      </w:r>
    </w:p>
    <w:p>
      <w:pPr>
        <w:pStyle w:val="18"/>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第二章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7</w:t>
      </w:r>
    </w:p>
    <w:p>
      <w:pPr>
        <w:pStyle w:val="18"/>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  项目需求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22</w:t>
      </w:r>
    </w:p>
    <w:p>
      <w:pPr>
        <w:pStyle w:val="18"/>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第四章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25</w:t>
      </w:r>
    </w:p>
    <w:p>
      <w:pPr>
        <w:pStyle w:val="18"/>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  评标方法与评标标准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30</w:t>
      </w:r>
    </w:p>
    <w:p>
      <w:pPr>
        <w:pStyle w:val="18"/>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第六章  响应文件格式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33</w:t>
      </w:r>
    </w:p>
    <w:p>
      <w:pPr>
        <w:pStyle w:val="18"/>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        友情提醒</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5</w:t>
      </w:r>
      <w:bookmarkStart w:id="98" w:name="_GoBack"/>
      <w:bookmarkEnd w:id="98"/>
    </w:p>
    <w:p>
      <w:pPr>
        <w:pStyle w:val="18"/>
        <w:spacing w:line="480" w:lineRule="auto"/>
        <w:rPr>
          <w:rFonts w:ascii="仿宋" w:hAnsi="仿宋" w:eastAsia="仿宋" w:cs="仿宋"/>
          <w:color w:val="auto"/>
          <w:sz w:val="28"/>
          <w:szCs w:val="28"/>
          <w:highlight w:val="none"/>
        </w:rPr>
      </w:pPr>
    </w:p>
    <w:p>
      <w:pPr>
        <w:pStyle w:val="18"/>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p>
    <w:p>
      <w:pPr>
        <w:spacing w:before="100" w:after="240" w:line="500" w:lineRule="exact"/>
        <w:jc w:val="center"/>
        <w:rPr>
          <w:rFonts w:ascii="仿宋" w:hAnsi="仿宋" w:eastAsia="仿宋" w:cs="仿宋"/>
          <w:b/>
          <w:color w:val="auto"/>
          <w:sz w:val="32"/>
          <w:highlight w:val="none"/>
        </w:rPr>
      </w:pPr>
    </w:p>
    <w:p>
      <w:pPr>
        <w:spacing w:before="100" w:after="240" w:line="500" w:lineRule="exact"/>
        <w:jc w:val="center"/>
        <w:rPr>
          <w:rFonts w:ascii="仿宋" w:hAnsi="仿宋" w:eastAsia="仿宋" w:cs="仿宋"/>
          <w:b/>
          <w:color w:val="auto"/>
          <w:sz w:val="32"/>
          <w:highlight w:val="none"/>
        </w:rPr>
      </w:pPr>
    </w:p>
    <w:p>
      <w:pPr>
        <w:spacing w:before="100" w:after="240" w:line="500" w:lineRule="exact"/>
        <w:rPr>
          <w:rFonts w:ascii="仿宋" w:hAnsi="仿宋" w:eastAsia="仿宋" w:cs="仿宋"/>
          <w:b/>
          <w:color w:val="auto"/>
          <w:sz w:val="32"/>
          <w:highlight w:val="none"/>
        </w:rPr>
      </w:pPr>
    </w:p>
    <w:p>
      <w:pPr>
        <w:spacing w:line="480" w:lineRule="auto"/>
        <w:outlineLvl w:val="0"/>
        <w:rPr>
          <w:rFonts w:ascii="仿宋" w:hAnsi="仿宋" w:eastAsia="仿宋" w:cs="仿宋"/>
          <w:b/>
          <w:color w:val="auto"/>
          <w:sz w:val="44"/>
          <w:szCs w:val="21"/>
          <w:highlight w:val="none"/>
        </w:rPr>
      </w:pPr>
      <w:bookmarkStart w:id="1" w:name="_Toc463253081"/>
      <w:bookmarkStart w:id="2" w:name="_Toc401414764"/>
    </w:p>
    <w:p>
      <w:pPr>
        <w:pStyle w:val="22"/>
        <w:ind w:firstLine="883"/>
        <w:rPr>
          <w:rFonts w:ascii="仿宋" w:hAnsi="仿宋" w:eastAsia="仿宋" w:cs="仿宋"/>
          <w:b/>
          <w:color w:val="auto"/>
          <w:sz w:val="44"/>
          <w:szCs w:val="21"/>
          <w:highlight w:val="none"/>
        </w:rPr>
      </w:pPr>
    </w:p>
    <w:p>
      <w:pPr>
        <w:rPr>
          <w:rFonts w:ascii="仿宋" w:hAnsi="仿宋" w:eastAsia="仿宋" w:cs="仿宋"/>
          <w:b/>
          <w:color w:val="auto"/>
          <w:sz w:val="44"/>
          <w:szCs w:val="21"/>
          <w:highlight w:val="none"/>
        </w:rPr>
      </w:pPr>
    </w:p>
    <w:p>
      <w:pPr>
        <w:pStyle w:val="22"/>
        <w:ind w:firstLine="883"/>
        <w:rPr>
          <w:rFonts w:ascii="仿宋" w:hAnsi="仿宋" w:eastAsia="仿宋" w:cs="仿宋"/>
          <w:b/>
          <w:color w:val="auto"/>
          <w:sz w:val="44"/>
          <w:szCs w:val="21"/>
          <w:highlight w:val="none"/>
        </w:rPr>
      </w:pPr>
    </w:p>
    <w:p>
      <w:pPr>
        <w:rPr>
          <w:rFonts w:ascii="仿宋" w:hAnsi="仿宋" w:eastAsia="仿宋" w:cs="仿宋"/>
          <w:b/>
          <w:color w:val="auto"/>
          <w:sz w:val="44"/>
          <w:szCs w:val="21"/>
          <w:highlight w:val="none"/>
        </w:rPr>
      </w:pPr>
    </w:p>
    <w:p>
      <w:pPr>
        <w:pStyle w:val="22"/>
        <w:rPr>
          <w:rFonts w:ascii="仿宋" w:hAnsi="仿宋" w:eastAsia="仿宋" w:cs="仿宋"/>
          <w:color w:val="auto"/>
          <w:highlight w:val="none"/>
        </w:rPr>
      </w:pPr>
    </w:p>
    <w:p>
      <w:pPr>
        <w:spacing w:line="480" w:lineRule="auto"/>
        <w:outlineLvl w:val="0"/>
        <w:rPr>
          <w:rFonts w:ascii="仿宋" w:hAnsi="仿宋" w:eastAsia="仿宋" w:cs="仿宋"/>
          <w:b/>
          <w:color w:val="auto"/>
          <w:sz w:val="44"/>
          <w:szCs w:val="21"/>
          <w:highlight w:val="none"/>
        </w:rPr>
        <w:sectPr>
          <w:headerReference r:id="rId3" w:type="default"/>
          <w:pgSz w:w="11906" w:h="16838"/>
          <w:pgMar w:top="1134" w:right="1134" w:bottom="1134" w:left="1417" w:header="851" w:footer="992" w:gutter="0"/>
          <w:pgNumType w:start="1"/>
          <w:cols w:space="720" w:num="1"/>
          <w:docGrid w:type="lines" w:linePitch="312" w:charSpace="0"/>
        </w:sectPr>
      </w:pPr>
    </w:p>
    <w:p>
      <w:pPr>
        <w:spacing w:line="480" w:lineRule="auto"/>
        <w:jc w:val="center"/>
        <w:outlineLvl w:val="0"/>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第一章  竞争性磋商公告</w:t>
      </w:r>
      <w:bookmarkEnd w:id="1"/>
      <w:bookmarkEnd w:id="2"/>
    </w:p>
    <w:p>
      <w:pPr>
        <w:rPr>
          <w:rFonts w:ascii="仿宋" w:hAnsi="仿宋" w:eastAsia="仿宋" w:cs="仿宋"/>
          <w:color w:val="auto"/>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(常州市钟楼区住房和城乡建设局关于2024年政府项目前期国土咨询调查服务项目)的潜在供应商应在（常州钟楼区大仓路65号（博济五星智造园）8号楼2楼常州中宇财务室）获取采购文件，并于</w:t>
      </w:r>
      <w:r>
        <w:rPr>
          <w:rFonts w:hint="eastAsia" w:ascii="仿宋" w:hAnsi="仿宋" w:eastAsia="仿宋" w:cs="仿宋"/>
          <w:color w:val="auto"/>
          <w:sz w:val="28"/>
          <w:szCs w:val="28"/>
          <w:highlight w:val="none"/>
          <w:u w:val="single"/>
        </w:rPr>
        <w:t>2024年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点00分</w:t>
      </w:r>
      <w:r>
        <w:rPr>
          <w:rFonts w:hint="eastAsia" w:ascii="仿宋" w:hAnsi="仿宋" w:eastAsia="仿宋" w:cs="仿宋"/>
          <w:color w:val="auto"/>
          <w:sz w:val="28"/>
          <w:szCs w:val="28"/>
          <w:highlight w:val="none"/>
        </w:rPr>
        <w:t>（北京时间）前提交响应文件。</w:t>
      </w:r>
    </w:p>
    <w:p>
      <w:pPr>
        <w:pStyle w:val="4"/>
        <w:spacing w:line="360" w:lineRule="auto"/>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一、项目基本情况：</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项目编号：ZYJS-SC2024063</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项目名称：常州市钟楼区住房和城乡建设局关于202</w:t>
      </w:r>
      <w:r>
        <w:rPr>
          <w:rFonts w:ascii="仿宋" w:hAnsi="仿宋" w:eastAsia="仿宋" w:cs="仿宋"/>
          <w:color w:val="auto"/>
          <w:sz w:val="28"/>
          <w:szCs w:val="28"/>
          <w:highlight w:val="none"/>
        </w:rPr>
        <w:t>4</w:t>
      </w:r>
      <w:r>
        <w:rPr>
          <w:rFonts w:hint="eastAsia" w:ascii="仿宋" w:hAnsi="仿宋" w:eastAsia="仿宋" w:cs="仿宋"/>
          <w:color w:val="auto"/>
          <w:sz w:val="28"/>
          <w:szCs w:val="28"/>
          <w:highlight w:val="none"/>
        </w:rPr>
        <w:t>年政府项目前期国土咨询调查服务</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采购方式：□竞争性谈判 ☑竞争性磋商 □询价</w:t>
      </w:r>
    </w:p>
    <w:p>
      <w:pPr>
        <w:spacing w:line="360" w:lineRule="auto"/>
        <w:ind w:firstLine="420" w:firstLineChars="200"/>
        <w:rPr>
          <w:rFonts w:ascii="仿宋" w:hAnsi="仿宋" w:eastAsia="仿宋" w:cs="仿宋"/>
          <w:color w:val="auto"/>
          <w:kern w:val="0"/>
          <w:sz w:val="28"/>
          <w:szCs w:val="28"/>
          <w:highlight w:val="none"/>
        </w:rPr>
      </w:pPr>
      <w:r>
        <w:rPr>
          <w:rFonts w:hint="eastAsia" w:ascii="仿宋" w:hAnsi="仿宋" w:eastAsia="仿宋" w:cs="仿宋"/>
          <w:color w:val="auto"/>
          <w:highlight w:val="none"/>
        </w:rPr>
        <w:t xml:space="preserve"> </w:t>
      </w:r>
      <w:r>
        <w:rPr>
          <w:rFonts w:hint="eastAsia" w:ascii="仿宋" w:hAnsi="仿宋" w:eastAsia="仿宋" w:cs="仿宋"/>
          <w:color w:val="auto"/>
          <w:kern w:val="0"/>
          <w:sz w:val="28"/>
          <w:szCs w:val="28"/>
          <w:highlight w:val="none"/>
        </w:rPr>
        <w:t>项目预算金额：人民币28.8万元</w:t>
      </w:r>
    </w:p>
    <w:p>
      <w:pPr>
        <w:spacing w:line="360" w:lineRule="auto"/>
        <w:ind w:firstLine="420" w:firstLineChars="200"/>
        <w:rPr>
          <w:rFonts w:ascii="仿宋" w:hAnsi="仿宋" w:eastAsia="仿宋" w:cs="仿宋"/>
          <w:color w:val="auto"/>
          <w:kern w:val="0"/>
          <w:sz w:val="28"/>
          <w:szCs w:val="28"/>
          <w:highlight w:val="none"/>
        </w:rPr>
      </w:pPr>
      <w:r>
        <w:rPr>
          <w:rFonts w:hint="eastAsia"/>
          <w:color w:val="auto"/>
          <w:highlight w:val="none"/>
        </w:rPr>
        <w:t xml:space="preserve"> </w:t>
      </w:r>
      <w:r>
        <w:rPr>
          <w:rFonts w:hint="eastAsia" w:ascii="仿宋" w:hAnsi="仿宋" w:eastAsia="仿宋" w:cs="仿宋"/>
          <w:color w:val="auto"/>
          <w:kern w:val="0"/>
          <w:sz w:val="28"/>
          <w:szCs w:val="28"/>
          <w:highlight w:val="none"/>
        </w:rPr>
        <w:t>项目最高限价：项目最高投标单价限价</w:t>
      </w:r>
      <w:r>
        <w:rPr>
          <w:rFonts w:ascii="仿宋" w:hAnsi="仿宋" w:eastAsia="仿宋" w:cs="仿宋"/>
          <w:color w:val="auto"/>
          <w:kern w:val="0"/>
          <w:sz w:val="28"/>
          <w:szCs w:val="28"/>
          <w:highlight w:val="none"/>
        </w:rPr>
        <w:t>4000</w:t>
      </w:r>
      <w:r>
        <w:rPr>
          <w:rFonts w:hint="eastAsia" w:ascii="仿宋" w:hAnsi="仿宋" w:eastAsia="仿宋" w:cs="仿宋"/>
          <w:color w:val="auto"/>
          <w:kern w:val="0"/>
          <w:sz w:val="28"/>
          <w:szCs w:val="28"/>
          <w:highlight w:val="none"/>
        </w:rPr>
        <w:t>.00元/项目，超过最高投标单价限价为无效响应。</w:t>
      </w:r>
    </w:p>
    <w:p>
      <w:pPr>
        <w:pStyle w:val="22"/>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tbl>
      <w:tblPr>
        <w:tblStyle w:val="23"/>
        <w:tblW w:w="950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125"/>
        <w:gridCol w:w="2036"/>
        <w:gridCol w:w="829"/>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0" w:type="dxa"/>
            <w:vAlign w:val="center"/>
          </w:tcPr>
          <w:p>
            <w:pPr>
              <w:pStyle w:val="22"/>
              <w:spacing w:line="440" w:lineRule="exact"/>
              <w:ind w:firstLine="0" w:firstLineChars="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包号</w:t>
            </w:r>
          </w:p>
        </w:tc>
        <w:tc>
          <w:tcPr>
            <w:tcW w:w="3125" w:type="dxa"/>
            <w:vAlign w:val="center"/>
          </w:tcPr>
          <w:p>
            <w:pPr>
              <w:pStyle w:val="22"/>
              <w:spacing w:line="440" w:lineRule="exact"/>
              <w:ind w:firstLine="0" w:firstLineChars="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标的名称</w:t>
            </w:r>
          </w:p>
        </w:tc>
        <w:tc>
          <w:tcPr>
            <w:tcW w:w="2036" w:type="dxa"/>
            <w:vAlign w:val="center"/>
          </w:tcPr>
          <w:p>
            <w:pPr>
              <w:pStyle w:val="22"/>
              <w:spacing w:line="440" w:lineRule="exact"/>
              <w:ind w:firstLine="0" w:firstLineChars="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采购包预算金额（万元）</w:t>
            </w:r>
          </w:p>
        </w:tc>
        <w:tc>
          <w:tcPr>
            <w:tcW w:w="829" w:type="dxa"/>
            <w:vAlign w:val="center"/>
          </w:tcPr>
          <w:p>
            <w:pPr>
              <w:pStyle w:val="22"/>
              <w:spacing w:line="440" w:lineRule="exact"/>
              <w:ind w:firstLine="0" w:firstLineChars="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数量</w:t>
            </w:r>
          </w:p>
        </w:tc>
        <w:tc>
          <w:tcPr>
            <w:tcW w:w="2580" w:type="dxa"/>
            <w:vAlign w:val="center"/>
          </w:tcPr>
          <w:p>
            <w:pPr>
              <w:pStyle w:val="22"/>
              <w:spacing w:line="440" w:lineRule="exact"/>
              <w:ind w:firstLine="0" w:firstLineChars="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930" w:type="dxa"/>
            <w:vAlign w:val="center"/>
          </w:tcPr>
          <w:p>
            <w:pPr>
              <w:spacing w:line="44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01</w:t>
            </w:r>
          </w:p>
        </w:tc>
        <w:tc>
          <w:tcPr>
            <w:tcW w:w="3125" w:type="dxa"/>
            <w:vAlign w:val="center"/>
          </w:tcPr>
          <w:p>
            <w:pPr>
              <w:spacing w:line="440" w:lineRule="exact"/>
              <w:jc w:val="center"/>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常州市钟楼区住房和城乡建设局关于2024年政府项目前期国土咨询调查服务（一标包）</w:t>
            </w:r>
          </w:p>
        </w:tc>
        <w:tc>
          <w:tcPr>
            <w:tcW w:w="2036" w:type="dxa"/>
            <w:vAlign w:val="center"/>
          </w:tcPr>
          <w:p>
            <w:pPr>
              <w:spacing w:line="44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14.4</w:t>
            </w:r>
          </w:p>
        </w:tc>
        <w:tc>
          <w:tcPr>
            <w:tcW w:w="829" w:type="dxa"/>
            <w:vAlign w:val="center"/>
          </w:tcPr>
          <w:p>
            <w:pPr>
              <w:spacing w:line="44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580" w:type="dxa"/>
            <w:vMerge w:val="restart"/>
            <w:vAlign w:val="center"/>
          </w:tcPr>
          <w:p>
            <w:pPr>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包含整年度各类政府项目前期咨询、未征地供地图斑提取、叠加城规土规分析、涉林情况、三调现状、不动产调取等。提供相关CAD成果，图件、图层成果及书面报告成果等。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30" w:type="dxa"/>
            <w:vAlign w:val="center"/>
          </w:tcPr>
          <w:p>
            <w:pPr>
              <w:spacing w:line="44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02</w:t>
            </w:r>
          </w:p>
        </w:tc>
        <w:tc>
          <w:tcPr>
            <w:tcW w:w="3125" w:type="dxa"/>
            <w:vAlign w:val="center"/>
          </w:tcPr>
          <w:p>
            <w:pPr>
              <w:spacing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常州市钟楼区住房和城乡建设局关于2024年政府项目前期国土咨询调查服务（二标包）</w:t>
            </w:r>
          </w:p>
        </w:tc>
        <w:tc>
          <w:tcPr>
            <w:tcW w:w="2036" w:type="dxa"/>
            <w:vAlign w:val="center"/>
          </w:tcPr>
          <w:p>
            <w:pPr>
              <w:spacing w:line="44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14.4</w:t>
            </w:r>
          </w:p>
        </w:tc>
        <w:tc>
          <w:tcPr>
            <w:tcW w:w="829" w:type="dxa"/>
            <w:vAlign w:val="center"/>
          </w:tcPr>
          <w:p>
            <w:pPr>
              <w:spacing w:line="44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580" w:type="dxa"/>
            <w:vMerge w:val="continue"/>
            <w:vAlign w:val="center"/>
          </w:tcPr>
          <w:p>
            <w:pPr>
              <w:spacing w:line="440" w:lineRule="exact"/>
              <w:rPr>
                <w:rFonts w:ascii="仿宋" w:hAnsi="仿宋" w:eastAsia="仿宋" w:cs="仿宋"/>
                <w:color w:val="auto"/>
                <w:kern w:val="0"/>
                <w:sz w:val="28"/>
                <w:szCs w:val="28"/>
                <w:highlight w:val="none"/>
              </w:rPr>
            </w:pPr>
          </w:p>
        </w:tc>
      </w:tr>
    </w:tbl>
    <w:p>
      <w:pPr>
        <w:rPr>
          <w:b/>
          <w:bCs/>
          <w:color w:val="auto"/>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Cs/>
          <w:color w:val="auto"/>
          <w:sz w:val="28"/>
          <w:szCs w:val="28"/>
          <w:highlight w:val="none"/>
        </w:rPr>
        <w:t>本次招标为年度集约化招标，实际工作量与目前暂估量会有差异，请投标人报价时综合考虑，后期不接受任何理由的价格调增。一年服务期满或服务期内2家成交供应商单签合同费用合并累计达</w:t>
      </w:r>
      <w:r>
        <w:rPr>
          <w:rFonts w:ascii="仿宋" w:hAnsi="仿宋" w:eastAsia="仿宋" w:cs="仿宋"/>
          <w:bCs/>
          <w:color w:val="auto"/>
          <w:sz w:val="28"/>
          <w:szCs w:val="28"/>
          <w:highlight w:val="none"/>
        </w:rPr>
        <w:t>28.8</w:t>
      </w:r>
      <w:r>
        <w:rPr>
          <w:rFonts w:hint="eastAsia" w:ascii="仿宋" w:hAnsi="仿宋" w:eastAsia="仿宋" w:cs="仿宋"/>
          <w:bCs/>
          <w:color w:val="auto"/>
          <w:sz w:val="28"/>
          <w:szCs w:val="28"/>
          <w:highlight w:val="none"/>
        </w:rPr>
        <w:t>万元，以任一先到为止，该项目自动终止，需另行招标。合同履行初期采购人将按照平均分配原则进行项目委托，若后期采购人认为供应商配合等不好的，采购人有权对工作分配进行调整，甚至经采购人多次要求整改未果的，采购人有权提前解除合同，供应商不得有异议。</w:t>
      </w:r>
    </w:p>
    <w:p>
      <w:pPr>
        <w:tabs>
          <w:tab w:val="left" w:pos="900"/>
        </w:tabs>
        <w:spacing w:line="360" w:lineRule="auto"/>
        <w:ind w:firstLine="420" w:firstLineChars="200"/>
        <w:jc w:val="left"/>
        <w:rPr>
          <w:rFonts w:ascii="仿宋" w:hAnsi="仿宋" w:eastAsia="仿宋" w:cs="仿宋"/>
          <w:color w:val="auto"/>
          <w:sz w:val="28"/>
          <w:szCs w:val="28"/>
          <w:highlight w:val="none"/>
        </w:rPr>
      </w:pPr>
      <w:r>
        <w:rPr>
          <w:rFonts w:hint="eastAsia"/>
          <w:color w:val="auto"/>
          <w:highlight w:val="none"/>
        </w:rPr>
        <w:t xml:space="preserve"> </w:t>
      </w:r>
      <w:r>
        <w:rPr>
          <w:rFonts w:hint="eastAsia" w:ascii="仿宋" w:hAnsi="仿宋" w:eastAsia="仿宋" w:cs="仿宋"/>
          <w:color w:val="auto"/>
          <w:sz w:val="28"/>
          <w:szCs w:val="28"/>
          <w:highlight w:val="none"/>
        </w:rPr>
        <w:t>本项目分为2个标包，供应商可以响应一个标包或两个标包；1家供应商仅能成交1个标包（评委根据标包号次序依次评审）。如经评审，两个标包排名第一的为同一供应商时，由该供应商按标包号次序成交，剩余未选择的标包由相应标包排名次之的供应商成交。</w:t>
      </w:r>
    </w:p>
    <w:p>
      <w:pPr>
        <w:tabs>
          <w:tab w:val="left" w:pos="900"/>
        </w:tabs>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合同履行期限：一年。自合同签订生效之日起计。</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p>
    <w:p>
      <w:pPr>
        <w:ind w:firstLine="560" w:firstLineChars="200"/>
        <w:rPr>
          <w:rFonts w:ascii="仿宋" w:hAnsi="仿宋" w:eastAsia="仿宋" w:cs="仿宋"/>
          <w:color w:val="auto"/>
          <w:sz w:val="28"/>
          <w:szCs w:val="28"/>
          <w:highlight w:val="none"/>
        </w:rPr>
      </w:pPr>
      <w:bookmarkStart w:id="3" w:name="_Toc28359014"/>
      <w:bookmarkStart w:id="4" w:name="_Toc28359091"/>
      <w:r>
        <w:rPr>
          <w:rFonts w:hint="eastAsia" w:ascii="仿宋" w:hAnsi="仿宋" w:eastAsia="仿宋" w:cs="仿宋"/>
          <w:color w:val="auto"/>
          <w:sz w:val="28"/>
          <w:szCs w:val="28"/>
          <w:highlight w:val="none"/>
        </w:rPr>
        <w:t>1.具有独立承担民事责任能力的法人或其他组织，提供有效的营业执照副本；</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2.具有良好的商业信誉和健全的财务会计制度；资产运营良好，不存在因借贷、担保等可能影响供应商履行本招标项目的情况，具有良好的经营业绩，有提供优质服务的能力；</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3.具有履行合同所必需的设备和专业技术能力；</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4.有依法缴纳税收和社会保障资金的良好记录；</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5.未被“信用中国”网站（www.creditchina.gov.cn）</w:t>
      </w:r>
      <w:r>
        <w:rPr>
          <w:rFonts w:hint="eastAsia" w:ascii="仿宋" w:hAnsi="仿宋" w:eastAsia="仿宋" w:cs="仿宋"/>
          <w:color w:val="auto"/>
          <w:sz w:val="28"/>
          <w:szCs w:val="28"/>
          <w:highlight w:val="none"/>
        </w:rPr>
        <w:t>和“中国政府采购网”网站（www.ccgp.gov.cn）</w:t>
      </w:r>
      <w:r>
        <w:rPr>
          <w:rFonts w:hint="eastAsia" w:ascii="仿宋" w:hAnsi="仿宋" w:eastAsia="仿宋" w:cs="仿宋"/>
          <w:color w:val="auto"/>
          <w:sz w:val="28"/>
          <w:szCs w:val="28"/>
          <w:highlight w:val="none"/>
        </w:rPr>
        <w:t>、中国执行信息公开网列入失信被执行人、被执行人、重大税收违法案件当事人名单、严重失信行为记录名单（采购人或招标代理机构进行查询，供应商无需提供证明材料）；</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6.参加招标活动前二年内，在经营活动中无重大违法记录或无不良行为记录（如该记录对禁止参与招投标活动有明确规定的，则从其规定）；</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7.无其他法律、行政法规规定的禁止参与招投标活动的行为；</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8.单位负责人为同一人或者存在直接控股、管理关系的不同供应商，不得参加同一合同项下的采购活动；与采购人存在利害关系可能影响招标公正性的法人、其他组织，不得参加投标；</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9.本项目不接受联合体形式</w:t>
      </w:r>
      <w:r>
        <w:rPr>
          <w:rFonts w:hint="eastAsia" w:ascii="仿宋" w:hAnsi="仿宋" w:eastAsia="仿宋" w:cs="仿宋"/>
          <w:color w:val="auto"/>
          <w:kern w:val="0"/>
          <w:sz w:val="28"/>
          <w:szCs w:val="28"/>
          <w:highlight w:val="none"/>
        </w:rPr>
        <w:t>，不得分包转包</w:t>
      </w:r>
      <w:r>
        <w:rPr>
          <w:rFonts w:hint="eastAsia" w:ascii="仿宋" w:hAnsi="仿宋" w:eastAsia="仿宋" w:cs="仿宋"/>
          <w:color w:val="auto"/>
          <w:sz w:val="28"/>
          <w:szCs w:val="28"/>
          <w:highlight w:val="none"/>
        </w:rPr>
        <w:t>。</w:t>
      </w:r>
    </w:p>
    <w:p>
      <w:pPr>
        <w:pStyle w:val="4"/>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三、获取采购文件</w:t>
      </w:r>
      <w:bookmarkEnd w:id="3"/>
      <w:bookmarkEnd w:id="4"/>
      <w:r>
        <w:rPr>
          <w:rFonts w:hint="eastAsia" w:ascii="仿宋" w:hAnsi="仿宋" w:eastAsia="仿宋" w:cs="仿宋"/>
          <w:color w:val="auto"/>
          <w:sz w:val="28"/>
          <w:szCs w:val="28"/>
          <w:highlight w:val="none"/>
        </w:rPr>
        <w:t>：</w:t>
      </w:r>
    </w:p>
    <w:p>
      <w:pPr>
        <w:spacing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时间：2024年5月</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日至2024年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，每天上午</w:t>
      </w:r>
      <w:r>
        <w:rPr>
          <w:rFonts w:hint="eastAsia" w:ascii="仿宋" w:hAnsi="仿宋" w:eastAsia="仿宋" w:cs="仿宋"/>
          <w:color w:val="auto"/>
          <w:sz w:val="28"/>
          <w:szCs w:val="28"/>
          <w:highlight w:val="none"/>
          <w:u w:val="single"/>
        </w:rPr>
        <w:t>8:30至11：00</w:t>
      </w:r>
      <w:r>
        <w:rPr>
          <w:rFonts w:hint="eastAsia" w:ascii="仿宋" w:hAnsi="仿宋" w:eastAsia="仿宋" w:cs="仿宋"/>
          <w:color w:val="auto"/>
          <w:sz w:val="28"/>
          <w:szCs w:val="28"/>
          <w:highlight w:val="none"/>
        </w:rPr>
        <w:t>，下午</w:t>
      </w:r>
      <w:r>
        <w:rPr>
          <w:rFonts w:hint="eastAsia" w:ascii="仿宋" w:hAnsi="仿宋" w:eastAsia="仿宋" w:cs="仿宋"/>
          <w:color w:val="auto"/>
          <w:sz w:val="28"/>
          <w:szCs w:val="28"/>
          <w:highlight w:val="none"/>
          <w:u w:val="single"/>
        </w:rPr>
        <w:t>13:30至17:00</w:t>
      </w:r>
      <w:r>
        <w:rPr>
          <w:rFonts w:hint="eastAsia" w:ascii="仿宋" w:hAnsi="仿宋" w:eastAsia="仿宋" w:cs="仿宋"/>
          <w:color w:val="auto"/>
          <w:sz w:val="28"/>
          <w:szCs w:val="28"/>
          <w:highlight w:val="none"/>
        </w:rPr>
        <w:t>（北京时间，法定节假日除外）</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地点：常州钟楼区大仓路65号（博济五星智造园）8号楼2楼常州中宇财务室 </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方式：（磋商供应商可采取以下任一种方式获取竞争性磋商文件）</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①线上获取：</w:t>
      </w:r>
      <w:r>
        <w:rPr>
          <w:color w:val="auto"/>
          <w:highlight w:val="none"/>
        </w:rPr>
        <w:fldChar w:fldCharType="begin"/>
      </w:r>
      <w:r>
        <w:rPr>
          <w:color w:val="auto"/>
          <w:highlight w:val="none"/>
        </w:rPr>
        <w:instrText xml:space="preserve"> HYPERLINK "mailto:磋商供应商在规定的时间内将报名材料扫描发至本公司邮箱" </w:instrText>
      </w:r>
      <w:r>
        <w:rPr>
          <w:color w:val="auto"/>
          <w:highlight w:val="none"/>
        </w:rPr>
        <w:fldChar w:fldCharType="separate"/>
      </w:r>
      <w:r>
        <w:rPr>
          <w:rFonts w:hint="eastAsia" w:ascii="仿宋" w:hAnsi="仿宋" w:eastAsia="仿宋" w:cs="仿宋"/>
          <w:color w:val="auto"/>
          <w:sz w:val="28"/>
          <w:szCs w:val="28"/>
          <w:highlight w:val="none"/>
        </w:rPr>
        <w:t>磋商供应商在规定的时间内将报名材料扫描发至本公司邮箱“zhongyuzhaobiao111@163.com”并按要求交纳竞争性磋商文件费用后，竞争性磋商文件以邮件形式发送至磋商供应商邮箱。</w:t>
      </w:r>
      <w:r>
        <w:rPr>
          <w:rFonts w:hint="eastAsia" w:ascii="仿宋" w:hAnsi="仿宋" w:eastAsia="仿宋" w:cs="仿宋"/>
          <w:color w:val="auto"/>
          <w:sz w:val="28"/>
          <w:szCs w:val="28"/>
          <w:highlight w:val="none"/>
        </w:rPr>
        <w:fldChar w:fldCharType="end"/>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户    名：常州中宇建设工程管理有限公司</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开户银行：中国工商银行股份有限公司常州勤德支行 </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号：1105052609000510202</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现场获取：竞争性磋商文件现场购买地点：常州钟楼区大仓路65号（博济五星智造园）8号楼2楼常州中宇财务室。报名单位须在第1条规定截止时间前将标书款缴入以下专用账户，禁止第三方代缴，转帐时请备注所投项目编号。</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财务室电话（查询标书款）：0519-85782855</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售    价：人民币叁佰元/标包，竞争性磋商文件售后一概不退。未获取竞争性磋商文件的磋商供应商不得参与投标。磋商供应商获取竞争性磋商文件时应提供如下材料：</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（1）供应商登记表（格式见网站首页资料下载板块）</w:t>
      </w:r>
    </w:p>
    <w:p>
      <w:pPr>
        <w:pStyle w:val="4"/>
        <w:spacing w:before="100" w:after="100" w:line="360" w:lineRule="auto"/>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四、响应文件提交：</w:t>
      </w:r>
    </w:p>
    <w:p>
      <w:pPr>
        <w:ind w:firstLine="560" w:firstLineChars="20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u w:val="single"/>
        </w:rPr>
        <w:t>2024年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上午9</w:t>
      </w:r>
      <w:r>
        <w:rPr>
          <w:rFonts w:hint="eastAsia" w:ascii="仿宋" w:hAnsi="仿宋" w:eastAsia="仿宋" w:cs="仿宋"/>
          <w:color w:val="auto"/>
          <w:sz w:val="28"/>
          <w:szCs w:val="28"/>
          <w:highlight w:val="none"/>
          <w:u w:val="single"/>
        </w:rPr>
        <w:t>点00分</w:t>
      </w:r>
      <w:r>
        <w:rPr>
          <w:rFonts w:hint="eastAsia" w:ascii="仿宋" w:hAnsi="仿宋" w:eastAsia="仿宋" w:cs="仿宋"/>
          <w:bCs/>
          <w:color w:val="auto"/>
          <w:sz w:val="28"/>
          <w:szCs w:val="28"/>
          <w:highlight w:val="none"/>
        </w:rPr>
        <w:t>（北京时间）</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地点：常州钟楼区大仓路65号（博济五星智造园）8号楼2楼常州中宇招标中心开标室  </w:t>
      </w:r>
    </w:p>
    <w:p>
      <w:pPr>
        <w:pStyle w:val="4"/>
        <w:spacing w:before="100" w:after="100" w:line="360" w:lineRule="auto"/>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五、开启（</w:t>
      </w:r>
      <w:r>
        <w:rPr>
          <w:rFonts w:hint="eastAsia" w:ascii="仿宋" w:hAnsi="仿宋" w:eastAsia="仿宋" w:cs="仿宋"/>
          <w:bCs w:val="0"/>
          <w:i/>
          <w:color w:val="auto"/>
          <w:sz w:val="28"/>
          <w:szCs w:val="28"/>
          <w:highlight w:val="none"/>
        </w:rPr>
        <w:t>竞争性磋商方式必须填写</w:t>
      </w:r>
      <w:r>
        <w:rPr>
          <w:rFonts w:hint="eastAsia" w:ascii="仿宋" w:hAnsi="仿宋" w:eastAsia="仿宋" w:cs="仿宋"/>
          <w:bCs w:val="0"/>
          <w:color w:val="auto"/>
          <w:sz w:val="28"/>
          <w:szCs w:val="28"/>
          <w:highlight w:val="none"/>
        </w:rPr>
        <w:t>）</w:t>
      </w:r>
    </w:p>
    <w:p>
      <w:pPr>
        <w:ind w:firstLine="560" w:firstLineChars="200"/>
        <w:rPr>
          <w:rFonts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rPr>
        <w:t>2024年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上午9</w:t>
      </w:r>
      <w:r>
        <w:rPr>
          <w:rFonts w:hint="eastAsia" w:ascii="仿宋" w:hAnsi="仿宋" w:eastAsia="仿宋" w:cs="仿宋"/>
          <w:color w:val="auto"/>
          <w:sz w:val="28"/>
          <w:szCs w:val="28"/>
          <w:highlight w:val="none"/>
          <w:u w:val="single"/>
        </w:rPr>
        <w:t>点00分</w:t>
      </w:r>
      <w:r>
        <w:rPr>
          <w:rFonts w:hint="eastAsia" w:ascii="仿宋" w:hAnsi="仿宋" w:eastAsia="仿宋" w:cs="仿宋"/>
          <w:bCs/>
          <w:color w:val="auto"/>
          <w:sz w:val="28"/>
          <w:szCs w:val="28"/>
          <w:highlight w:val="none"/>
        </w:rPr>
        <w:t>（北京时间）</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地点：常州钟楼区大仓路65号（博济五星智造园）8号楼2楼常州中宇招标中心开标室  </w:t>
      </w:r>
    </w:p>
    <w:p>
      <w:pPr>
        <w:pStyle w:val="4"/>
        <w:spacing w:before="100" w:after="100"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六、公告期限：</w:t>
      </w:r>
    </w:p>
    <w:p>
      <w:pPr>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自本公告发布之日起5个工作日。</w:t>
      </w:r>
    </w:p>
    <w:p>
      <w:pPr>
        <w:pStyle w:val="4"/>
        <w:spacing w:before="100" w:after="100" w:line="360" w:lineRule="auto"/>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七、其他补充事宜：</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1.踏勘</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本项目供应商可以自行踏勘现场，成交后不得以未踏勘现场等理由向采购单位提出任何要求。</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2.澄清</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①对竞争性磋商文件有澄清或疑问的供应商，均应在2024年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日17：30前按竞争性磋商公告中的通讯地址，将疑问内容一次性以书面形式并加盖公章送达采购代理机构，否则视为无有效澄清或疑问。</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②有关本次采购的事项若存在变动或修改，采购代理机构将通过补充或更正形式在相关网站上发布，因未能及时了解相关最新信息所引起的投标失误责任由供应商自负。</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3.响应文件制作份数要求：</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正本份数：1份，副本份数：2份；响应文件应按顺序胶装成册，并编制响应文件目录索引。不论供应商成交与否，响应文件均不退回。</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成交公告发布前，成交供应商须将响应文件电子档（PDF 格式，含加盖鲜红章和签字的全套扫描文件，与正本响应文件完全一致的电子档）发至邮箱：</w:t>
      </w:r>
      <w:r>
        <w:rPr>
          <w:color w:val="auto"/>
          <w:highlight w:val="none"/>
        </w:rPr>
        <w:fldChar w:fldCharType="begin"/>
      </w:r>
      <w:r>
        <w:rPr>
          <w:color w:val="auto"/>
          <w:highlight w:val="none"/>
        </w:rPr>
        <w:instrText xml:space="preserve"> HYPERLINK "mailto:zhongyuzhaobiao111@163.com" </w:instrText>
      </w:r>
      <w:r>
        <w:rPr>
          <w:color w:val="auto"/>
          <w:highlight w:val="none"/>
        </w:rPr>
        <w:fldChar w:fldCharType="separate"/>
      </w:r>
      <w:r>
        <w:rPr>
          <w:rFonts w:hint="eastAsia" w:ascii="仿宋" w:hAnsi="仿宋" w:eastAsia="仿宋" w:cs="仿宋"/>
          <w:color w:val="auto"/>
          <w:sz w:val="28"/>
          <w:szCs w:val="28"/>
          <w:highlight w:val="none"/>
        </w:rPr>
        <w:t>zhongyuzhaobiao111@163.com</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p>
    <w:p>
      <w:pP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八、磋商保证金要求</w:t>
      </w:r>
    </w:p>
    <w:p>
      <w:pPr>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1、磋商保证金专用帐户：</w:t>
      </w:r>
    </w:p>
    <w:p>
      <w:pPr>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户    名：常州中宇建设工程管理有限公司</w:t>
      </w:r>
    </w:p>
    <w:p>
      <w:pPr>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开户银行：中国工商银行股份有限公司常州勤德支行 </w:t>
      </w:r>
    </w:p>
    <w:p>
      <w:pPr>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号：1105052609000510202</w:t>
      </w:r>
    </w:p>
    <w:p>
      <w:pPr>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2、磋商保证金到账截止时间：</w:t>
      </w:r>
      <w:r>
        <w:rPr>
          <w:rFonts w:hint="eastAsia" w:ascii="仿宋" w:hAnsi="仿宋" w:eastAsia="仿宋" w:cs="仿宋"/>
          <w:color w:val="auto"/>
          <w:sz w:val="28"/>
          <w:szCs w:val="28"/>
          <w:highlight w:val="none"/>
          <w:u w:val="single"/>
        </w:rPr>
        <w:t>同响应文件递交截至时间</w:t>
      </w:r>
    </w:p>
    <w:p>
      <w:pPr>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3、磋商保证金金额（人民币）：</w:t>
      </w:r>
      <w:r>
        <w:rPr>
          <w:rFonts w:hint="eastAsia" w:ascii="仿宋" w:hAnsi="仿宋" w:eastAsia="仿宋" w:cs="仿宋"/>
          <w:color w:val="auto"/>
          <w:sz w:val="28"/>
          <w:szCs w:val="28"/>
          <w:highlight w:val="none"/>
          <w:u w:val="single"/>
        </w:rPr>
        <w:t>贰仟伍佰元/标包</w:t>
      </w:r>
      <w:r>
        <w:rPr>
          <w:rFonts w:hint="eastAsia" w:ascii="仿宋" w:hAnsi="仿宋" w:eastAsia="仿宋" w:cs="仿宋"/>
          <w:color w:val="auto"/>
          <w:sz w:val="28"/>
          <w:szCs w:val="28"/>
          <w:highlight w:val="none"/>
        </w:rPr>
        <w:t>（转帐时请备注所投项目编号和标包号）</w:t>
      </w:r>
    </w:p>
    <w:p>
      <w:pPr>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报名单位须在第2条规定截止时间前将磋商保证金从企业账户缴入磋商保证金专用账户，拒绝以其它方式缴纳，禁止第三方代缴保证金。供应商应充分考虑磋商保证金在途时间，确保磋商保证金在到账截止时间前到达磋商保证金专用帐户。</w:t>
      </w:r>
    </w:p>
    <w:p>
      <w:pPr>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5、未按上述4条要求提交磋商保证金的将被视为无效响应，其响应文件将被磋商小组拒绝。</w:t>
      </w:r>
    </w:p>
    <w:p>
      <w:pPr>
        <w:pStyle w:val="4"/>
        <w:spacing w:line="360" w:lineRule="auto"/>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九、凡对本次采购提出询问，请按以下方式联系：</w:t>
      </w:r>
    </w:p>
    <w:p>
      <w:pPr>
        <w:tabs>
          <w:tab w:val="left" w:pos="900"/>
        </w:tabs>
        <w:spacing w:line="360" w:lineRule="auto"/>
        <w:ind w:left="42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pPr>
        <w:pStyle w:val="19"/>
        <w:widowControl/>
        <w:spacing w:before="0" w:beforeAutospacing="0" w:after="0" w:afterAutospacing="0" w:line="360" w:lineRule="auto"/>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名      称：常州市钟楼区住房和城乡建设局</w:t>
      </w:r>
    </w:p>
    <w:p>
      <w:pPr>
        <w:pStyle w:val="19"/>
        <w:widowControl/>
        <w:spacing w:before="0" w:beforeAutospacing="0" w:after="0" w:afterAutospacing="0" w:line="360" w:lineRule="auto"/>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xml:space="preserve">地  </w:t>
      </w:r>
      <w:r>
        <w:rPr>
          <w:rFonts w:ascii="仿宋" w:hAnsi="仿宋" w:eastAsia="仿宋" w:cs="仿宋"/>
          <w:color w:val="auto"/>
          <w:kern w:val="2"/>
          <w:sz w:val="28"/>
          <w:szCs w:val="28"/>
          <w:highlight w:val="none"/>
        </w:rPr>
        <w:t xml:space="preserve">  </w:t>
      </w:r>
      <w:r>
        <w:rPr>
          <w:rFonts w:hint="eastAsia" w:ascii="仿宋" w:hAnsi="仿宋" w:eastAsia="仿宋" w:cs="仿宋"/>
          <w:color w:val="auto"/>
          <w:kern w:val="2"/>
          <w:sz w:val="28"/>
          <w:szCs w:val="28"/>
          <w:highlight w:val="none"/>
        </w:rPr>
        <w:t>址：江苏省常州市钟楼区星港路88号</w:t>
      </w:r>
    </w:p>
    <w:p>
      <w:pPr>
        <w:pStyle w:val="19"/>
        <w:widowControl/>
        <w:spacing w:before="0" w:beforeAutospacing="0" w:after="0" w:afterAutospacing="0" w:line="360" w:lineRule="auto"/>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联系方式：王工   联系电话：0519-88891960</w:t>
      </w:r>
    </w:p>
    <w:p>
      <w:pPr>
        <w:tabs>
          <w:tab w:val="left" w:pos="900"/>
        </w:tabs>
        <w:spacing w:line="360" w:lineRule="auto"/>
        <w:ind w:left="420"/>
        <w:jc w:val="left"/>
        <w:rPr>
          <w:rFonts w:ascii="仿宋" w:hAnsi="仿宋" w:eastAsia="仿宋" w:cs="仿宋"/>
          <w:color w:val="auto"/>
          <w:sz w:val="28"/>
          <w:szCs w:val="28"/>
          <w:highlight w:val="none"/>
        </w:rPr>
      </w:pPr>
      <w:bookmarkStart w:id="5" w:name="_Toc28359086"/>
      <w:bookmarkStart w:id="6" w:name="_Toc28359009"/>
      <w:r>
        <w:rPr>
          <w:rFonts w:hint="eastAsia" w:ascii="仿宋" w:hAnsi="仿宋" w:eastAsia="仿宋" w:cs="仿宋"/>
          <w:color w:val="auto"/>
          <w:sz w:val="28"/>
          <w:szCs w:val="28"/>
          <w:highlight w:val="none"/>
        </w:rPr>
        <w:t>2.采购代理机构信息</w:t>
      </w:r>
      <w:bookmarkEnd w:id="5"/>
      <w:bookmarkEnd w:id="6"/>
    </w:p>
    <w:p>
      <w:pPr>
        <w:tabs>
          <w:tab w:val="left" w:pos="900"/>
        </w:tabs>
        <w:spacing w:line="360" w:lineRule="auto"/>
        <w:ind w:left="42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称：常州中宇建设工程管理有限公司</w:t>
      </w:r>
    </w:p>
    <w:p>
      <w:pPr>
        <w:tabs>
          <w:tab w:val="left" w:pos="900"/>
        </w:tabs>
        <w:spacing w:line="360" w:lineRule="auto"/>
        <w:ind w:left="42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    址：常州钟楼区大仓路65号（博济五星智造园）8号楼2楼209室  </w:t>
      </w:r>
    </w:p>
    <w:p>
      <w:pPr>
        <w:tabs>
          <w:tab w:val="left" w:pos="900"/>
        </w:tabs>
        <w:spacing w:line="360" w:lineRule="auto"/>
        <w:ind w:left="42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bookmarkStart w:id="7" w:name="_Toc28359010"/>
      <w:bookmarkStart w:id="8" w:name="_Toc28359087"/>
      <w:r>
        <w:rPr>
          <w:rFonts w:hint="eastAsia" w:ascii="仿宋" w:hAnsi="仿宋" w:eastAsia="仿宋" w:cs="仿宋"/>
          <w:color w:val="auto"/>
          <w:sz w:val="28"/>
          <w:szCs w:val="28"/>
          <w:highlight w:val="none"/>
        </w:rPr>
        <w:t>0519-85782055</w:t>
      </w:r>
    </w:p>
    <w:p>
      <w:pPr>
        <w:tabs>
          <w:tab w:val="left" w:pos="900"/>
        </w:tabs>
        <w:spacing w:line="360" w:lineRule="auto"/>
        <w:ind w:left="42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bookmarkEnd w:id="7"/>
      <w:bookmarkEnd w:id="8"/>
    </w:p>
    <w:p>
      <w:pPr>
        <w:tabs>
          <w:tab w:val="left" w:pos="900"/>
        </w:tabs>
        <w:spacing w:line="360" w:lineRule="auto"/>
        <w:ind w:left="42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项目联系人：左学文</w:t>
      </w:r>
    </w:p>
    <w:p>
      <w:pPr>
        <w:tabs>
          <w:tab w:val="left" w:pos="900"/>
        </w:tabs>
        <w:spacing w:line="360" w:lineRule="auto"/>
        <w:ind w:left="42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话：0519-85782055</w:t>
      </w:r>
    </w:p>
    <w:p>
      <w:pPr>
        <w:spacing w:line="360" w:lineRule="auto"/>
        <w:ind w:firstLine="48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注:上述个人信息由于工作需要经机构或本人同意对外公布。</w:t>
      </w:r>
    </w:p>
    <w:p>
      <w:pPr>
        <w:tabs>
          <w:tab w:val="left" w:pos="900"/>
        </w:tabs>
        <w:spacing w:line="360" w:lineRule="auto"/>
        <w:jc w:val="center"/>
        <w:rPr>
          <w:rFonts w:ascii="仿宋" w:hAnsi="仿宋" w:eastAsia="仿宋" w:cs="仿宋"/>
          <w:b/>
          <w:color w:val="auto"/>
          <w:sz w:val="44"/>
          <w:szCs w:val="21"/>
          <w:highlight w:val="none"/>
        </w:rPr>
      </w:pPr>
      <w:r>
        <w:rPr>
          <w:rFonts w:hint="eastAsia" w:ascii="仿宋" w:hAnsi="仿宋" w:eastAsia="仿宋" w:cs="仿宋"/>
          <w:color w:val="auto"/>
          <w:sz w:val="28"/>
          <w:szCs w:val="28"/>
          <w:highlight w:val="none"/>
        </w:rPr>
        <w:br w:type="page"/>
      </w:r>
      <w:bookmarkStart w:id="9" w:name="_Toc401414765"/>
      <w:bookmarkStart w:id="10" w:name="_Toc463253082"/>
      <w:r>
        <w:rPr>
          <w:rFonts w:hint="eastAsia" w:ascii="仿宋" w:hAnsi="仿宋" w:eastAsia="仿宋" w:cs="仿宋"/>
          <w:b/>
          <w:color w:val="auto"/>
          <w:sz w:val="44"/>
          <w:szCs w:val="21"/>
          <w:highlight w:val="none"/>
        </w:rPr>
        <w:t xml:space="preserve">第二章  </w:t>
      </w:r>
      <w:bookmarkStart w:id="11" w:name="_Toc513029202"/>
      <w:bookmarkStart w:id="12" w:name="_Toc16938518"/>
      <w:bookmarkStart w:id="13" w:name="_Toc120614213"/>
      <w:bookmarkStart w:id="14" w:name="_Toc20823274"/>
      <w:r>
        <w:rPr>
          <w:rFonts w:hint="eastAsia" w:ascii="仿宋" w:hAnsi="仿宋" w:eastAsia="仿宋" w:cs="仿宋"/>
          <w:b/>
          <w:color w:val="auto"/>
          <w:sz w:val="44"/>
          <w:szCs w:val="21"/>
          <w:highlight w:val="none"/>
        </w:rPr>
        <w:t>供应商须知</w:t>
      </w:r>
      <w:bookmarkEnd w:id="9"/>
      <w:bookmarkEnd w:id="10"/>
      <w:bookmarkEnd w:id="11"/>
      <w:bookmarkEnd w:id="12"/>
      <w:bookmarkEnd w:id="13"/>
      <w:bookmarkEnd w:id="14"/>
    </w:p>
    <w:p>
      <w:pPr>
        <w:pStyle w:val="5"/>
        <w:autoSpaceDE/>
        <w:autoSpaceDN/>
        <w:adjustRightInd/>
        <w:spacing w:before="156" w:beforeLines="50" w:after="156" w:afterLines="50" w:line="360" w:lineRule="auto"/>
        <w:ind w:firstLine="498" w:firstLineChars="155"/>
        <w:jc w:val="both"/>
        <w:rPr>
          <w:rFonts w:ascii="仿宋" w:hAnsi="仿宋" w:eastAsia="仿宋" w:cs="仿宋"/>
          <w:bCs/>
          <w:color w:val="auto"/>
          <w:sz w:val="32"/>
          <w:szCs w:val="32"/>
          <w:highlight w:val="none"/>
          <w:u w:val="none"/>
        </w:rPr>
      </w:pPr>
      <w:bookmarkStart w:id="15" w:name="_Toc513029203"/>
      <w:bookmarkStart w:id="16" w:name="_Toc120614214"/>
      <w:bookmarkStart w:id="17" w:name="_Toc20823275"/>
      <w:bookmarkStart w:id="18" w:name="_Toc16938519"/>
      <w:r>
        <w:rPr>
          <w:rFonts w:hint="eastAsia" w:ascii="仿宋" w:hAnsi="仿宋" w:eastAsia="仿宋" w:cs="仿宋"/>
          <w:bCs/>
          <w:color w:val="auto"/>
          <w:sz w:val="32"/>
          <w:szCs w:val="32"/>
          <w:highlight w:val="none"/>
          <w:u w:val="none"/>
        </w:rPr>
        <w:t>一、总则</w:t>
      </w:r>
      <w:bookmarkEnd w:id="15"/>
      <w:bookmarkEnd w:id="16"/>
      <w:bookmarkEnd w:id="17"/>
      <w:bookmarkEnd w:id="18"/>
    </w:p>
    <w:p>
      <w:pPr>
        <w:pStyle w:val="6"/>
        <w:spacing w:before="0" w:after="0" w:line="360" w:lineRule="auto"/>
        <w:ind w:firstLine="422" w:firstLineChars="150"/>
        <w:rPr>
          <w:rFonts w:ascii="仿宋" w:hAnsi="仿宋" w:eastAsia="仿宋" w:cs="仿宋"/>
          <w:bCs w:val="0"/>
          <w:color w:val="auto"/>
          <w:highlight w:val="none"/>
        </w:rPr>
      </w:pPr>
      <w:bookmarkStart w:id="19" w:name="_Hlt16619475"/>
      <w:bookmarkEnd w:id="19"/>
      <w:bookmarkStart w:id="20" w:name="_Toc458694821"/>
      <w:bookmarkStart w:id="21" w:name="_Toc513029204"/>
      <w:bookmarkStart w:id="22" w:name="_Toc16938520"/>
      <w:bookmarkStart w:id="23" w:name="_Toc20823276"/>
      <w:r>
        <w:rPr>
          <w:rFonts w:hint="eastAsia" w:ascii="仿宋" w:hAnsi="仿宋" w:eastAsia="仿宋" w:cs="仿宋"/>
          <w:bCs w:val="0"/>
          <w:color w:val="auto"/>
          <w:highlight w:val="none"/>
        </w:rPr>
        <w:t>1</w:t>
      </w:r>
      <w:bookmarkEnd w:id="20"/>
      <w:r>
        <w:rPr>
          <w:rFonts w:hint="eastAsia" w:ascii="仿宋" w:hAnsi="仿宋" w:eastAsia="仿宋" w:cs="仿宋"/>
          <w:bCs w:val="0"/>
          <w:color w:val="auto"/>
          <w:highlight w:val="none"/>
        </w:rPr>
        <w:t>、采购方式</w:t>
      </w:r>
      <w:bookmarkEnd w:id="21"/>
      <w:bookmarkEnd w:id="22"/>
      <w:bookmarkEnd w:id="23"/>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本次采购采取竞争性磋商方式，本文件仅适用于竞争性磋商公告中所述项目。</w:t>
      </w:r>
    </w:p>
    <w:p>
      <w:pPr>
        <w:pStyle w:val="6"/>
        <w:spacing w:before="0" w:after="0" w:line="360" w:lineRule="auto"/>
        <w:ind w:firstLine="422" w:firstLineChars="150"/>
        <w:rPr>
          <w:rFonts w:ascii="仿宋" w:hAnsi="仿宋" w:eastAsia="仿宋" w:cs="仿宋"/>
          <w:bCs w:val="0"/>
          <w:color w:val="auto"/>
          <w:highlight w:val="none"/>
        </w:rPr>
      </w:pPr>
      <w:bookmarkStart w:id="24" w:name="_Toc20823277"/>
      <w:bookmarkStart w:id="25" w:name="_Toc513029205"/>
      <w:bookmarkStart w:id="26" w:name="_Toc16938521"/>
      <w:r>
        <w:rPr>
          <w:rFonts w:hint="eastAsia" w:ascii="仿宋" w:hAnsi="仿宋" w:eastAsia="仿宋" w:cs="仿宋"/>
          <w:bCs w:val="0"/>
          <w:color w:val="auto"/>
          <w:highlight w:val="none"/>
        </w:rPr>
        <w:t>2、合格的</w:t>
      </w:r>
      <w:bookmarkEnd w:id="24"/>
      <w:bookmarkEnd w:id="25"/>
      <w:bookmarkEnd w:id="26"/>
      <w:r>
        <w:rPr>
          <w:rFonts w:hint="eastAsia" w:ascii="仿宋" w:hAnsi="仿宋" w:eastAsia="仿宋" w:cs="仿宋"/>
          <w:bCs w:val="0"/>
          <w:color w:val="auto"/>
          <w:highlight w:val="none"/>
        </w:rPr>
        <w:t>供应商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1满足竞争性磋商公告中“供应商资格要求”的规定。</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2 满足本文件实质性条款的规定。</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3本竞争性磋商文件中所有带★号的内容均为实质性条款，如供应商递交的响应文件不符合实质性条款的要求，将作为无效响应文件处理。</w:t>
      </w:r>
    </w:p>
    <w:p>
      <w:pPr>
        <w:pStyle w:val="6"/>
        <w:spacing w:before="0" w:after="0" w:line="360" w:lineRule="auto"/>
        <w:ind w:firstLine="422" w:firstLineChars="150"/>
        <w:rPr>
          <w:rFonts w:ascii="仿宋" w:hAnsi="仿宋" w:eastAsia="仿宋" w:cs="仿宋"/>
          <w:bCs w:val="0"/>
          <w:color w:val="auto"/>
          <w:highlight w:val="none"/>
        </w:rPr>
      </w:pPr>
      <w:bookmarkStart w:id="27" w:name="_Toc20823278"/>
      <w:bookmarkStart w:id="28" w:name="_Toc16938522"/>
      <w:bookmarkStart w:id="29" w:name="_Toc513029206"/>
      <w:r>
        <w:rPr>
          <w:rFonts w:hint="eastAsia" w:ascii="仿宋" w:hAnsi="仿宋" w:eastAsia="仿宋" w:cs="仿宋"/>
          <w:bCs w:val="0"/>
          <w:color w:val="auto"/>
          <w:highlight w:val="none"/>
        </w:rPr>
        <w:t>3、适用范围及定义</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3.1适用范围</w:t>
      </w:r>
      <w:bookmarkEnd w:id="27"/>
      <w:bookmarkEnd w:id="28"/>
      <w:bookmarkEnd w:id="29"/>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依据公开、公平、公正、诚实信用的原则制定本须知。</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3.2定义</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3.2.1 “重大违法记录”系指磋商供应商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3.2.2“不良行为记录”系指供应商发生下列情形之一：</w:t>
      </w:r>
    </w:p>
    <w:p>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（1）未被“信用中国”网站（www.creditchina.gov.cn）</w:t>
      </w:r>
      <w:r>
        <w:rPr>
          <w:rFonts w:hint="eastAsia" w:ascii="仿宋" w:hAnsi="仿宋" w:eastAsia="仿宋" w:cs="仿宋"/>
          <w:color w:val="auto"/>
          <w:sz w:val="24"/>
          <w:highlight w:val="none"/>
        </w:rPr>
        <w:t>和“中国政府采购网”网站（www.ccgp.gov.cn）</w:t>
      </w:r>
      <w:r>
        <w:rPr>
          <w:rFonts w:hint="eastAsia" w:ascii="仿宋" w:hAnsi="仿宋" w:eastAsia="仿宋" w:cs="仿宋"/>
          <w:color w:val="auto"/>
          <w:sz w:val="24"/>
          <w:highlight w:val="none"/>
        </w:rPr>
        <w:t>、中国执行信息公开网列入失信被执行人、被执行人、重大税收违法案件当事人名单、严重失信行为记录名单；</w:t>
      </w:r>
    </w:p>
    <w:p>
      <w:pPr>
        <w:numPr>
          <w:ilvl w:val="255"/>
          <w:numId w:val="0"/>
        </w:num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（2）在招投标活动中因违反相关规定被招标采购及招投标监管部门列入不良行为记录名单的（包含本须知第16.5条中相关内容）。</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3.2.3“参加采购活动前二年”是以响应文件的递交截止时间为时间点向前追溯。</w:t>
      </w:r>
    </w:p>
    <w:p>
      <w:pPr>
        <w:pStyle w:val="6"/>
        <w:spacing w:before="0" w:after="0" w:line="360" w:lineRule="auto"/>
        <w:rPr>
          <w:rFonts w:ascii="仿宋" w:hAnsi="仿宋" w:eastAsia="仿宋" w:cs="仿宋"/>
          <w:bCs w:val="0"/>
          <w:color w:val="auto"/>
          <w:highlight w:val="none"/>
        </w:rPr>
      </w:pPr>
      <w:bookmarkStart w:id="30" w:name="_Toc462564067"/>
      <w:bookmarkStart w:id="31" w:name="_Toc513029207"/>
      <w:bookmarkStart w:id="32" w:name="_Toc16938523"/>
      <w:bookmarkStart w:id="33" w:name="_Toc20823279"/>
      <w:r>
        <w:rPr>
          <w:rFonts w:hint="eastAsia" w:ascii="仿宋" w:hAnsi="仿宋" w:eastAsia="仿宋" w:cs="仿宋"/>
          <w:bCs w:val="0"/>
          <w:color w:val="auto"/>
          <w:highlight w:val="none"/>
        </w:rPr>
        <w:t>4、磋商费用</w:t>
      </w:r>
      <w:bookmarkEnd w:id="30"/>
      <w:bookmarkEnd w:id="31"/>
      <w:bookmarkEnd w:id="32"/>
      <w:bookmarkEnd w:id="33"/>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 供应商应自行承担所有与参加竞争性磋商有关的费用，无论投标过程中的做法和结果如何，采购代理机构在任何情况下均无义务和责任承担这些费用。</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4.2招标代理服务收费标准</w:t>
      </w:r>
    </w:p>
    <w:p>
      <w:pPr>
        <w:spacing w:line="360" w:lineRule="auto"/>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收费标准：每标包供应商须按人民币叁仟元计算并支付成交服务费以及均摊评审相关费用。</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4.3本次招标</w:t>
      </w:r>
      <w:r>
        <w:rPr>
          <w:rFonts w:hint="eastAsia" w:ascii="仿宋" w:hAnsi="仿宋" w:eastAsia="仿宋" w:cs="仿宋"/>
          <w:b/>
          <w:bCs/>
          <w:color w:val="auto"/>
          <w:kern w:val="0"/>
          <w:sz w:val="24"/>
          <w:highlight w:val="none"/>
        </w:rPr>
        <w:t>按4.2条内容计算成交服务费</w:t>
      </w:r>
      <w:r>
        <w:rPr>
          <w:rFonts w:hint="eastAsia" w:ascii="仿宋" w:hAnsi="仿宋" w:eastAsia="仿宋" w:cs="仿宋"/>
          <w:bCs/>
          <w:color w:val="auto"/>
          <w:kern w:val="0"/>
          <w:sz w:val="24"/>
          <w:highlight w:val="none"/>
        </w:rPr>
        <w:t>，成交供应商在成交通知书发出之日起五个工作日内向采购代理机构缴纳</w:t>
      </w:r>
      <w:r>
        <w:rPr>
          <w:rFonts w:hint="eastAsia" w:ascii="仿宋" w:hAnsi="仿宋" w:eastAsia="仿宋" w:cs="仿宋"/>
          <w:color w:val="auto"/>
          <w:sz w:val="24"/>
          <w:highlight w:val="none"/>
        </w:rPr>
        <w:t>。</w:t>
      </w:r>
    </w:p>
    <w:p>
      <w:pPr>
        <w:pStyle w:val="6"/>
        <w:numPr>
          <w:ilvl w:val="0"/>
          <w:numId w:val="1"/>
        </w:numPr>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供应商代表</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指全权代表参加招标活动并签署响应文件、与采购人签署合同的人，如果供应商代表不是法定代表人，须提供有效的《授权委托书》（格式见第六章 响应文件格式）。同一供应商不得授权多人作为同一项目的供应商代表，否则其响应文件将被作为无效响应。</w:t>
      </w:r>
    </w:p>
    <w:p>
      <w:pPr>
        <w:pStyle w:val="5"/>
        <w:autoSpaceDE/>
        <w:autoSpaceDN/>
        <w:adjustRightInd/>
        <w:spacing w:before="156" w:beforeLines="50" w:after="156" w:afterLines="50" w:line="360" w:lineRule="auto"/>
        <w:ind w:firstLine="498" w:firstLineChars="155"/>
        <w:jc w:val="both"/>
        <w:rPr>
          <w:rFonts w:ascii="仿宋" w:hAnsi="仿宋" w:eastAsia="仿宋" w:cs="仿宋"/>
          <w:bCs/>
          <w:color w:val="auto"/>
          <w:sz w:val="32"/>
          <w:szCs w:val="32"/>
          <w:highlight w:val="none"/>
          <w:u w:val="none"/>
        </w:rPr>
      </w:pPr>
      <w:bookmarkStart w:id="34" w:name="_Toc20823281"/>
      <w:bookmarkStart w:id="35" w:name="_Toc16938525"/>
      <w:bookmarkStart w:id="36" w:name="_Toc513029209"/>
      <w:bookmarkStart w:id="37" w:name="_Toc120614215"/>
      <w:r>
        <w:rPr>
          <w:rFonts w:hint="eastAsia" w:ascii="仿宋" w:hAnsi="仿宋" w:eastAsia="仿宋" w:cs="仿宋"/>
          <w:bCs/>
          <w:color w:val="auto"/>
          <w:sz w:val="32"/>
          <w:szCs w:val="32"/>
          <w:highlight w:val="none"/>
          <w:u w:val="none"/>
        </w:rPr>
        <w:t>二、</w:t>
      </w:r>
      <w:bookmarkEnd w:id="34"/>
      <w:bookmarkEnd w:id="35"/>
      <w:bookmarkEnd w:id="36"/>
      <w:bookmarkEnd w:id="37"/>
      <w:r>
        <w:rPr>
          <w:rFonts w:hint="eastAsia" w:ascii="仿宋" w:hAnsi="仿宋" w:eastAsia="仿宋" w:cs="仿宋"/>
          <w:bCs/>
          <w:color w:val="auto"/>
          <w:sz w:val="32"/>
          <w:szCs w:val="32"/>
          <w:highlight w:val="none"/>
          <w:u w:val="none"/>
        </w:rPr>
        <w:t>竞争性磋商文件</w:t>
      </w:r>
    </w:p>
    <w:p>
      <w:pPr>
        <w:pStyle w:val="6"/>
        <w:spacing w:before="0" w:after="0" w:line="360" w:lineRule="auto"/>
        <w:ind w:firstLine="422" w:firstLineChars="150"/>
        <w:rPr>
          <w:rFonts w:ascii="仿宋" w:hAnsi="仿宋" w:eastAsia="仿宋" w:cs="仿宋"/>
          <w:bCs w:val="0"/>
          <w:color w:val="auto"/>
          <w:highlight w:val="none"/>
        </w:rPr>
      </w:pPr>
      <w:bookmarkStart w:id="38" w:name="_Toc513029210"/>
      <w:bookmarkStart w:id="39" w:name="_Toc16938526"/>
      <w:bookmarkStart w:id="40" w:name="_Toc20823282"/>
      <w:r>
        <w:rPr>
          <w:rFonts w:hint="eastAsia" w:ascii="仿宋" w:hAnsi="仿宋" w:eastAsia="仿宋" w:cs="仿宋"/>
          <w:bCs w:val="0"/>
          <w:color w:val="auto"/>
          <w:highlight w:val="none"/>
        </w:rPr>
        <w:t>6、竞争性磋商文件构成</w:t>
      </w:r>
      <w:bookmarkEnd w:id="38"/>
      <w:bookmarkEnd w:id="39"/>
      <w:bookmarkEnd w:id="40"/>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6.1 竞争性磋商文件有以下部分组成：</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（1）竞争性磋商公告    </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（2）供应商须知</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（3）项目需求</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（4）合同条款及格式</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（5）评标方法与评标标准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（6）响应文件格式</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请仔细检查竞争性磋商文件是否齐全，如有缺漏请立即与采购代理机构联系解决。</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 供应商应认真阅读竞争性磋商文件中所有的事项、格式、条款和规范等要求。按竞争性磋商文件要求和规定编制响应文件，并保证所提供的全部资料的真实性，以使其响应文件对竞争性磋商文件作出实质性响应，否则其风险由供应商自行承担。</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6.3供应商一旦购买了本竞争性磋商文件并决定参加投标，即被认为接受了本竞争性磋商文件的规定和约束，供应商应当按照竞争性磋商文件的规定制作响应文件并参加竞争性磋商。</w:t>
      </w:r>
    </w:p>
    <w:p>
      <w:pPr>
        <w:pStyle w:val="6"/>
        <w:spacing w:before="0" w:after="0" w:line="360" w:lineRule="auto"/>
        <w:ind w:firstLine="422" w:firstLineChars="150"/>
        <w:rPr>
          <w:rFonts w:ascii="仿宋" w:hAnsi="仿宋" w:eastAsia="仿宋" w:cs="仿宋"/>
          <w:bCs w:val="0"/>
          <w:color w:val="auto"/>
          <w:highlight w:val="none"/>
        </w:rPr>
      </w:pPr>
      <w:bookmarkStart w:id="41" w:name="_Toc462564070"/>
      <w:bookmarkStart w:id="42" w:name="_Toc20823283"/>
      <w:bookmarkStart w:id="43" w:name="_Toc513029211"/>
      <w:bookmarkStart w:id="44" w:name="_Toc16938527"/>
      <w:r>
        <w:rPr>
          <w:rFonts w:hint="eastAsia" w:ascii="仿宋" w:hAnsi="仿宋" w:eastAsia="仿宋" w:cs="仿宋"/>
          <w:bCs w:val="0"/>
          <w:color w:val="auto"/>
          <w:highlight w:val="none"/>
        </w:rPr>
        <w:t>7、竞争性磋商文件的澄清</w:t>
      </w:r>
      <w:bookmarkEnd w:id="41"/>
      <w:bookmarkEnd w:id="42"/>
      <w:bookmarkEnd w:id="43"/>
      <w:bookmarkEnd w:id="44"/>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7.1 任何要求对竞争性磋商文件进行澄清的供应商，均应按磋商公告规定的提疑时间及要求前，以书面形式并加盖公章送达采购代理机构，否则视为无有效疑问或澄清。</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7.2若供应商认为设置的资质、条件、技术要求、商务条款、评标办法（评分标准）等存在歧视或不公正待遇的，应在上述期限内提出异议，否则视为无有效异议。供应商根据采购代理机构的答复作出是否继续参加竞争性磋商的决定。</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7.3 采购人或采购代理机构将视按照上述7.1、7.2条规定收到的要求澄清或提出异议事项决定是否发布澄清修改公告，或就个性化的问题回复提出澄清要求的潜在供应商。为避免不正当竞争或可能泄露采购人机密等不利情形，采购代理机构对供应商的疑问可以作选择性答复。</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7.4 有关本次采购的事项若存在变动或修改，采购代理机构将通过补充或更正形式在网站上发布，因未能及时了解相关最新信息所引起的投标失误责任由供应商自负。</w:t>
      </w:r>
    </w:p>
    <w:p>
      <w:pPr>
        <w:pStyle w:val="6"/>
        <w:spacing w:before="0" w:after="0" w:line="360" w:lineRule="auto"/>
        <w:ind w:firstLine="422" w:firstLineChars="150"/>
        <w:rPr>
          <w:rFonts w:ascii="仿宋" w:hAnsi="仿宋" w:eastAsia="仿宋" w:cs="仿宋"/>
          <w:bCs w:val="0"/>
          <w:color w:val="auto"/>
          <w:highlight w:val="none"/>
        </w:rPr>
      </w:pPr>
      <w:bookmarkStart w:id="45" w:name="_Toc20823284"/>
      <w:bookmarkStart w:id="46" w:name="_Toc16938528"/>
      <w:bookmarkStart w:id="47" w:name="_Toc462564071"/>
      <w:bookmarkStart w:id="48" w:name="_Toc513029212"/>
      <w:r>
        <w:rPr>
          <w:rFonts w:hint="eastAsia" w:ascii="仿宋" w:hAnsi="仿宋" w:eastAsia="仿宋" w:cs="仿宋"/>
          <w:bCs w:val="0"/>
          <w:color w:val="auto"/>
          <w:highlight w:val="none"/>
        </w:rPr>
        <w:t>8、竞争性磋商文件的修改</w:t>
      </w:r>
      <w:bookmarkEnd w:id="45"/>
      <w:bookmarkEnd w:id="46"/>
      <w:bookmarkEnd w:id="47"/>
      <w:bookmarkEnd w:id="48"/>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8.1 竞争性磋商文件发出后，在规定响应文件递交时间截止前任何时间，采购人或采购代理机构均可主动地或在解答供应商提出的澄清问题时对竞争性磋商文件进行修改，采购代理机构将通过补充或更正形式在网站上发布，因未能及时了解相关最新信息所引起的投标失误责任由供应商自负。</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8.2采购人或采购代理机构有权按照法定的要求推迟竞争性磋商截止日期和竞争性磋商开始日期。</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8.3竞争性磋商文件的修改和补充文件将作为竞争性磋商文件的组成部分，并对供应商具有约束力。</w:t>
      </w:r>
    </w:p>
    <w:p>
      <w:pPr>
        <w:pStyle w:val="5"/>
        <w:autoSpaceDE/>
        <w:autoSpaceDN/>
        <w:adjustRightInd/>
        <w:spacing w:before="156" w:beforeLines="50" w:after="156" w:afterLines="50" w:line="360" w:lineRule="auto"/>
        <w:ind w:firstLine="498" w:firstLineChars="155"/>
        <w:jc w:val="both"/>
        <w:rPr>
          <w:rFonts w:ascii="仿宋" w:hAnsi="仿宋" w:eastAsia="仿宋" w:cs="仿宋"/>
          <w:bCs/>
          <w:color w:val="auto"/>
          <w:sz w:val="32"/>
          <w:szCs w:val="32"/>
          <w:highlight w:val="none"/>
          <w:u w:val="none"/>
        </w:rPr>
      </w:pPr>
      <w:bookmarkStart w:id="49" w:name="_Toc16938529"/>
      <w:bookmarkStart w:id="50" w:name="_Toc120614216"/>
      <w:bookmarkStart w:id="51" w:name="_Toc462564072"/>
      <w:bookmarkStart w:id="52" w:name="_Toc513029213"/>
      <w:bookmarkStart w:id="53" w:name="_Toc20823285"/>
      <w:r>
        <w:rPr>
          <w:rFonts w:hint="eastAsia" w:ascii="仿宋" w:hAnsi="仿宋" w:eastAsia="仿宋" w:cs="仿宋"/>
          <w:bCs/>
          <w:color w:val="auto"/>
          <w:sz w:val="32"/>
          <w:szCs w:val="32"/>
          <w:highlight w:val="none"/>
          <w:u w:val="none"/>
        </w:rPr>
        <w:t>三、响应文件的编制</w:t>
      </w:r>
      <w:bookmarkEnd w:id="49"/>
      <w:bookmarkEnd w:id="50"/>
      <w:bookmarkEnd w:id="51"/>
      <w:bookmarkEnd w:id="52"/>
      <w:bookmarkEnd w:id="53"/>
    </w:p>
    <w:p>
      <w:pPr>
        <w:pStyle w:val="6"/>
        <w:spacing w:before="0" w:after="0" w:line="360" w:lineRule="auto"/>
        <w:ind w:firstLine="422" w:firstLineChars="150"/>
        <w:rPr>
          <w:rFonts w:ascii="仿宋" w:hAnsi="仿宋" w:eastAsia="仿宋" w:cs="仿宋"/>
          <w:bCs w:val="0"/>
          <w:color w:val="auto"/>
          <w:highlight w:val="none"/>
        </w:rPr>
      </w:pPr>
      <w:bookmarkStart w:id="54" w:name="_Toc462564073"/>
      <w:bookmarkStart w:id="55" w:name="_Toc16938530"/>
      <w:bookmarkStart w:id="56" w:name="_Toc513029214"/>
      <w:bookmarkStart w:id="57" w:name="_Toc20823286"/>
      <w:r>
        <w:rPr>
          <w:rFonts w:hint="eastAsia" w:ascii="仿宋" w:hAnsi="仿宋" w:eastAsia="仿宋" w:cs="仿宋"/>
          <w:bCs w:val="0"/>
          <w:color w:val="auto"/>
          <w:highlight w:val="none"/>
        </w:rPr>
        <w:t>9、响应文件的语言及度量衡单位</w:t>
      </w:r>
      <w:bookmarkEnd w:id="54"/>
      <w:bookmarkEnd w:id="55"/>
      <w:bookmarkEnd w:id="56"/>
      <w:bookmarkEnd w:id="57"/>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9.1 供应商提交的响应文件以及供应商与采购代理机构就有关竞争性磋商的所有来往通知、函件和文件均应使用简体中文。</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9.2 除技术性能另有规定外，响应文件所使用的度量衡单位，均须采用国家法定计量单位。</w:t>
      </w:r>
    </w:p>
    <w:p>
      <w:pPr>
        <w:pStyle w:val="6"/>
        <w:spacing w:before="0" w:after="0" w:line="360" w:lineRule="auto"/>
        <w:ind w:firstLine="422" w:firstLineChars="150"/>
        <w:rPr>
          <w:rFonts w:ascii="仿宋" w:hAnsi="仿宋" w:eastAsia="仿宋" w:cs="仿宋"/>
          <w:bCs w:val="0"/>
          <w:color w:val="auto"/>
          <w:highlight w:val="none"/>
        </w:rPr>
      </w:pPr>
      <w:bookmarkStart w:id="58" w:name="_Toc20823287"/>
      <w:bookmarkStart w:id="59" w:name="_Toc16938531"/>
      <w:bookmarkStart w:id="60" w:name="_Toc462564074"/>
      <w:bookmarkStart w:id="61" w:name="_Toc513029215"/>
      <w:r>
        <w:rPr>
          <w:rFonts w:hint="eastAsia" w:ascii="仿宋" w:hAnsi="仿宋" w:eastAsia="仿宋" w:cs="仿宋"/>
          <w:bCs w:val="0"/>
          <w:color w:val="auto"/>
          <w:highlight w:val="none"/>
        </w:rPr>
        <w:t>10、响应文件构成</w:t>
      </w:r>
      <w:bookmarkEnd w:id="58"/>
      <w:bookmarkEnd w:id="59"/>
      <w:bookmarkEnd w:id="60"/>
      <w:bookmarkEnd w:id="61"/>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10.1 供应商编写的响应文件构成详见第六章《响应文件格式》。</w:t>
      </w:r>
    </w:p>
    <w:p>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10.2 供应商应将响应文件按顺序胶装成册，并编制响应文件资料目录。</w:t>
      </w:r>
    </w:p>
    <w:p>
      <w:pPr>
        <w:pStyle w:val="6"/>
        <w:spacing w:before="0" w:after="0" w:line="360" w:lineRule="auto"/>
        <w:ind w:firstLine="422" w:firstLineChars="150"/>
        <w:rPr>
          <w:rFonts w:ascii="仿宋" w:hAnsi="仿宋" w:eastAsia="仿宋" w:cs="仿宋"/>
          <w:bCs w:val="0"/>
          <w:color w:val="auto"/>
          <w:highlight w:val="none"/>
        </w:rPr>
      </w:pPr>
      <w:bookmarkStart w:id="62" w:name="_Hlt26954838"/>
      <w:bookmarkEnd w:id="62"/>
      <w:bookmarkStart w:id="63" w:name="_Hlt26668975"/>
      <w:bookmarkEnd w:id="63"/>
      <w:bookmarkStart w:id="64" w:name="_Hlt26670360"/>
      <w:bookmarkEnd w:id="64"/>
      <w:bookmarkStart w:id="65" w:name="_Toc513029219"/>
      <w:bookmarkStart w:id="66" w:name="_Toc14577357"/>
      <w:bookmarkStart w:id="67" w:name="_Toc49090509"/>
      <w:bookmarkStart w:id="68" w:name="_Toc14577354"/>
      <w:bookmarkStart w:id="69" w:name="_Toc49090507"/>
      <w:bookmarkStart w:id="70" w:name="_Toc513029216"/>
      <w:r>
        <w:rPr>
          <w:rFonts w:hint="eastAsia" w:ascii="仿宋" w:hAnsi="仿宋" w:eastAsia="仿宋" w:cs="仿宋"/>
          <w:bCs w:val="0"/>
          <w:color w:val="auto"/>
          <w:highlight w:val="none"/>
        </w:rPr>
        <w:t>11、证明供应商资格及符合竞争性磋商文件规定的文件</w:t>
      </w:r>
      <w:bookmarkEnd w:id="65"/>
      <w:bookmarkEnd w:id="66"/>
      <w:bookmarkEnd w:id="67"/>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w:t>
      </w:r>
      <w:bookmarkStart w:id="71" w:name="_Hlt26668999"/>
      <w:bookmarkEnd w:id="71"/>
      <w:r>
        <w:rPr>
          <w:rFonts w:hint="eastAsia" w:ascii="仿宋" w:hAnsi="仿宋" w:eastAsia="仿宋" w:cs="仿宋"/>
          <w:color w:val="auto"/>
          <w:sz w:val="24"/>
          <w:highlight w:val="none"/>
        </w:rPr>
        <w:t>供应商应按要求提交资格证明文件及符合竞争性磋商文件规定的文件。</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11.2供应商应提交证明其有资格参加竞争性磋商和成交后有能力独立履行合同的文件。</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11.3供应商除必须具有履行合同所需提供的服务的能力外，还必须具备相应的财务、技术方面的能力。</w:t>
      </w:r>
    </w:p>
    <w:bookmarkEnd w:id="68"/>
    <w:bookmarkEnd w:id="69"/>
    <w:bookmarkEnd w:id="70"/>
    <w:p>
      <w:pPr>
        <w:spacing w:line="360" w:lineRule="auto"/>
        <w:ind w:firstLine="482" w:firstLineChars="200"/>
        <w:jc w:val="left"/>
        <w:rPr>
          <w:rFonts w:ascii="仿宋" w:hAnsi="仿宋" w:eastAsia="仿宋" w:cs="仿宋"/>
          <w:b/>
          <w:bCs/>
          <w:color w:val="auto"/>
          <w:sz w:val="24"/>
          <w:highlight w:val="none"/>
        </w:rPr>
      </w:pPr>
      <w:bookmarkStart w:id="72" w:name="_Toc14577355"/>
      <w:bookmarkStart w:id="73" w:name="_Toc49090508"/>
      <w:r>
        <w:rPr>
          <w:rFonts w:hint="eastAsia" w:ascii="仿宋" w:hAnsi="仿宋" w:eastAsia="仿宋" w:cs="仿宋"/>
          <w:b/>
          <w:bCs/>
          <w:color w:val="auto"/>
          <w:sz w:val="24"/>
          <w:highlight w:val="none"/>
        </w:rPr>
        <w:t>11.4供应商信用信息查询要求</w:t>
      </w:r>
    </w:p>
    <w:p>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查询渠道为“信用中国”网站（www.creditchina.gov.cn）</w:t>
      </w:r>
      <w:r>
        <w:rPr>
          <w:rFonts w:hint="eastAsia" w:ascii="仿宋" w:hAnsi="仿宋" w:eastAsia="仿宋" w:cs="仿宋"/>
          <w:color w:val="auto"/>
          <w:sz w:val="24"/>
          <w:highlight w:val="none"/>
        </w:rPr>
        <w:t>和“中国政府采购网”网站（www.ccgp.gov.cn）</w:t>
      </w:r>
      <w:r>
        <w:rPr>
          <w:rFonts w:hint="eastAsia" w:ascii="仿宋" w:hAnsi="仿宋" w:eastAsia="仿宋" w:cs="仿宋"/>
          <w:color w:val="auto"/>
          <w:sz w:val="24"/>
          <w:highlight w:val="none"/>
        </w:rPr>
        <w:t>、中国执行信息公开网,查询截止时间为本项目响应文件接收截止时间。</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12、投标配置与分项报价</w:t>
      </w:r>
      <w:bookmarkEnd w:id="72"/>
      <w:bookmarkStart w:id="74" w:name="_Hlt26670373"/>
      <w:bookmarkEnd w:id="74"/>
      <w:r>
        <w:rPr>
          <w:rFonts w:hint="eastAsia" w:ascii="仿宋" w:hAnsi="仿宋" w:eastAsia="仿宋" w:cs="仿宋"/>
          <w:bCs w:val="0"/>
          <w:color w:val="auto"/>
          <w:highlight w:val="none"/>
        </w:rPr>
        <w:t>表</w:t>
      </w:r>
      <w:bookmarkEnd w:id="73"/>
    </w:p>
    <w:p>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12.1供应商应按照竞争性磋商文件规定格式填报竞争性磋商报价与分项报价表，在表成交明各分项报价内容。</w:t>
      </w:r>
      <w:r>
        <w:rPr>
          <w:rFonts w:hint="eastAsia" w:ascii="仿宋" w:hAnsi="仿宋" w:eastAsia="仿宋" w:cs="仿宋"/>
          <w:b/>
          <w:color w:val="auto"/>
          <w:sz w:val="24"/>
          <w:highlight w:val="none"/>
        </w:rPr>
        <w:t>每个分项只允许有一个报价，任何有选择的或附有条件的报价将视为无效响应。本次招标不接受备选方案。</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12.2有关报价的内容</w:t>
      </w:r>
    </w:p>
    <w:p>
      <w:pPr>
        <w:spacing w:line="460" w:lineRule="exact"/>
        <w:ind w:firstLine="482" w:firstLineChars="200"/>
        <w:rPr>
          <w:rFonts w:ascii="宋体" w:hAnsi="宋体" w:cs="宋体"/>
          <w:color w:val="auto"/>
          <w:szCs w:val="21"/>
          <w:highlight w:val="none"/>
        </w:rPr>
      </w:pPr>
      <w:bookmarkStart w:id="75" w:name="_Hlk88433938"/>
      <w:r>
        <w:rPr>
          <w:rFonts w:hint="eastAsia" w:ascii="仿宋" w:hAnsi="仿宋" w:eastAsia="仿宋" w:cs="仿宋"/>
          <w:b/>
          <w:bCs/>
          <w:color w:val="auto"/>
          <w:sz w:val="24"/>
          <w:highlight w:val="none"/>
          <w:u w:val="single"/>
        </w:rPr>
        <w:t>本项目报价表上的价格为含税报价，本项目报价包括采购文件所确定的采购范围相应服务咨询费用，包括但不限于提供技术服务费、咨询服务人员相关费用（服务费、交通费、通讯费、补贴和福利等）、办公场所及设施、设备、保险、劳保、</w:t>
      </w:r>
      <w:r>
        <w:rPr>
          <w:rFonts w:hint="eastAsia" w:ascii="仿宋" w:hAnsi="仿宋" w:eastAsia="仿宋" w:cs="仿宋"/>
          <w:b/>
          <w:bCs/>
          <w:color w:val="auto"/>
          <w:sz w:val="24"/>
          <w:highlight w:val="none"/>
          <w:u w:val="single"/>
        </w:rPr>
        <w:t>以及可能涉及的相关查询调研费</w:t>
      </w:r>
      <w:r>
        <w:rPr>
          <w:rFonts w:hint="eastAsia" w:ascii="仿宋" w:hAnsi="仿宋" w:eastAsia="仿宋" w:cs="仿宋"/>
          <w:b/>
          <w:bCs/>
          <w:color w:val="auto"/>
          <w:sz w:val="24"/>
          <w:highlight w:val="none"/>
          <w:u w:val="single"/>
        </w:rPr>
        <w:t>、管理、利润、规费、税金、政策性文件规定及合同包含的所有风险、责任等各项应有费用，以及为完成该项服务项目所涉及到的一切相关费用。采购人不再支付其他费用。</w:t>
      </w:r>
    </w:p>
    <w:bookmarkEnd w:id="75"/>
    <w:p>
      <w:pPr>
        <w:numPr>
          <w:ilvl w:val="255"/>
          <w:numId w:val="0"/>
        </w:numPr>
        <w:snapToGrid w:val="0"/>
        <w:spacing w:line="360" w:lineRule="auto"/>
        <w:ind w:firstLine="482" w:firstLineChars="200"/>
        <w:jc w:val="left"/>
        <w:rPr>
          <w:rFonts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政策性文件规定及合同包含的所有风险、责任和响应文件所要求的相关服务等全部内容，以及其它交付采购人正式使用前的所有各项直接、间接费用和市场风险，还包括为完成本项目可能发生的和供应商自身认为需要的一切费用，采购人不再支付其它费用，此外，除非响应文件及合同条款中另有规定，否则，供应商所报价格在项目投标、合同实施期间不因市场变化等任何因素而变动。</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如果单价和总价不符，以单价为准。每项采购内容只允许有一个报价，任何有选择的或附有条件的报价将视为无效响应。</w:t>
      </w:r>
      <w:r>
        <w:rPr>
          <w:rFonts w:hint="eastAsia" w:ascii="仿宋" w:hAnsi="仿宋" w:eastAsia="仿宋" w:cs="仿宋"/>
          <w:b/>
          <w:color w:val="auto"/>
          <w:sz w:val="24"/>
          <w:highlight w:val="none"/>
        </w:rPr>
        <w:t>供应商未填单价或总价的项目，在成交后，采购单位将不予支付，并视为该项费用已包括在其它有价款的单价或总价内。</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12.3货币</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响应文件中的单价和总价应采用人民币报价，以元为单位标注。报价应是唯一的，招标方不接受有选择的报价和方案。当数量和单价之积不等于总价时，以单价为准重新计算总价。</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12.4 投标配置与分项报价表上的价格应按下列方式分开填写：</w:t>
      </w:r>
      <w:bookmarkStart w:id="76" w:name="_Hlt26668983"/>
      <w:bookmarkEnd w:id="76"/>
      <w:bookmarkStart w:id="77" w:name="_Hlt26954842"/>
      <w:bookmarkEnd w:id="77"/>
      <w:bookmarkStart w:id="78" w:name="_Hlt26954844"/>
      <w:bookmarkEnd w:id="78"/>
      <w:bookmarkStart w:id="79" w:name="_Hlt26670425"/>
      <w:bookmarkEnd w:id="79"/>
      <w:bookmarkStart w:id="80" w:name="_Hlt26670403"/>
      <w:bookmarkEnd w:id="80"/>
    </w:p>
    <w:p>
      <w:pPr>
        <w:spacing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项目单价：按投标配置及分项报价表中要求填报</w:t>
      </w:r>
      <w:bookmarkStart w:id="81" w:name="OLE_LINK4"/>
      <w:r>
        <w:rPr>
          <w:rFonts w:hint="eastAsia" w:ascii="仿宋" w:hAnsi="仿宋" w:eastAsia="仿宋" w:cs="仿宋"/>
          <w:color w:val="auto"/>
          <w:sz w:val="24"/>
          <w:highlight w:val="none"/>
          <w:lang w:val="zh-CN"/>
        </w:rPr>
        <w:t>；</w:t>
      </w:r>
    </w:p>
    <w:p>
      <w:pPr>
        <w:spacing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rPr>
        <w:t>（2）</w:t>
      </w:r>
      <w:bookmarkEnd w:id="81"/>
      <w:r>
        <w:rPr>
          <w:rFonts w:hint="eastAsia" w:ascii="仿宋" w:hAnsi="仿宋" w:eastAsia="仿宋" w:cs="仿宋"/>
          <w:color w:val="auto"/>
          <w:sz w:val="24"/>
          <w:highlight w:val="none"/>
          <w:lang w:val="zh-CN"/>
        </w:rPr>
        <w:t>项目总价：按各项目单价与数量乘积的总和。</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13、偏离表</w:t>
      </w:r>
    </w:p>
    <w:p>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bCs/>
          <w:color w:val="auto"/>
          <w:sz w:val="24"/>
          <w:highlight w:val="none"/>
        </w:rPr>
        <w:t>供应商应对竞争性磋商文件中规定的商务及技术部分给予充分的考虑。详见第六章《偏离表》相关要求。</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13.2 带★号的内容要求必须进行实质性响应，不响应和负偏离都将视为无效响应；</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13.3供应商认为需要的其他技术文件或说明。</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14、服务承诺及服务机构、人员的情况介绍</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14</w:t>
      </w:r>
      <w:r>
        <w:rPr>
          <w:rFonts w:hint="eastAsia" w:ascii="仿宋" w:hAnsi="仿宋" w:eastAsia="仿宋" w:cs="仿宋"/>
          <w:color w:val="auto"/>
          <w:sz w:val="24"/>
          <w:highlight w:val="none"/>
          <w:lang w:val="zh-CN"/>
        </w:rPr>
        <w:t>.</w:t>
      </w: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供应商的服务承诺应按不低于竞争性磋商文件中商务要求的标准。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14</w:t>
      </w:r>
      <w:r>
        <w:rPr>
          <w:rFonts w:hint="eastAsia" w:ascii="仿宋" w:hAnsi="仿宋" w:eastAsia="仿宋" w:cs="仿宋"/>
          <w:color w:val="auto"/>
          <w:sz w:val="24"/>
          <w:highlight w:val="none"/>
          <w:lang w:val="zh-CN"/>
        </w:rPr>
        <w:t>.</w:t>
      </w: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供应商的服务机构、服务的制度、服务人员。</w:t>
      </w:r>
    </w:p>
    <w:p>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14.3提供参加本项目实施的组成人员资历表，包括每个组成人员的技术职业资格和项目中承担的角色。</w:t>
      </w:r>
    </w:p>
    <w:p>
      <w:pPr>
        <w:pStyle w:val="6"/>
        <w:spacing w:before="0" w:after="0" w:line="360" w:lineRule="auto"/>
        <w:ind w:firstLine="422" w:firstLineChars="150"/>
        <w:rPr>
          <w:rFonts w:ascii="仿宋" w:hAnsi="仿宋" w:eastAsia="仿宋" w:cs="仿宋"/>
          <w:bCs w:val="0"/>
          <w:color w:val="auto"/>
          <w:highlight w:val="none"/>
        </w:rPr>
      </w:pPr>
      <w:bookmarkStart w:id="82" w:name="_Toc14577359"/>
      <w:bookmarkStart w:id="83" w:name="_Toc49090510"/>
      <w:r>
        <w:rPr>
          <w:rFonts w:hint="eastAsia" w:ascii="仿宋" w:hAnsi="仿宋" w:eastAsia="仿宋" w:cs="仿宋"/>
          <w:bCs w:val="0"/>
          <w:color w:val="auto"/>
          <w:highlight w:val="none"/>
        </w:rPr>
        <w:t>15、响应函和报价一览表</w:t>
      </w:r>
    </w:p>
    <w:p>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bCs/>
          <w:color w:val="auto"/>
          <w:sz w:val="24"/>
          <w:highlight w:val="none"/>
        </w:rPr>
        <w:t>15.1</w:t>
      </w:r>
      <w:r>
        <w:rPr>
          <w:rFonts w:hint="eastAsia" w:ascii="仿宋" w:hAnsi="仿宋" w:eastAsia="仿宋" w:cs="仿宋"/>
          <w:color w:val="auto"/>
          <w:sz w:val="24"/>
          <w:highlight w:val="none"/>
        </w:rPr>
        <w:t>供应商应按照竞争性磋商文件中提供的格式完整、正确填写响应函、报价一览表。</w:t>
      </w:r>
      <w:r>
        <w:rPr>
          <w:rFonts w:hint="eastAsia" w:ascii="仿宋" w:hAnsi="仿宋" w:eastAsia="仿宋" w:cs="仿宋"/>
          <w:b/>
          <w:color w:val="auto"/>
          <w:sz w:val="24"/>
          <w:highlight w:val="none"/>
        </w:rPr>
        <w:t>报价一览表必须按照本文件格式要求填写并按照格式要求在规定位置盖章及签字。</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15.2</w:t>
      </w:r>
      <w:r>
        <w:rPr>
          <w:rFonts w:hint="eastAsia" w:ascii="仿宋" w:hAnsi="仿宋" w:eastAsia="仿宋" w:cs="仿宋"/>
          <w:color w:val="auto"/>
          <w:sz w:val="24"/>
          <w:highlight w:val="none"/>
        </w:rPr>
        <w:t xml:space="preserve"> </w:t>
      </w:r>
      <w:r>
        <w:rPr>
          <w:rFonts w:hint="eastAsia" w:ascii="仿宋" w:hAnsi="仿宋" w:eastAsia="仿宋" w:cs="仿宋"/>
          <w:bCs/>
          <w:color w:val="auto"/>
          <w:sz w:val="24"/>
          <w:highlight w:val="none"/>
        </w:rPr>
        <w:t>报价一览表中的价格应与响应文件中投标配置与分项报价表中的价格一致。如出现不一致的情况，评标时一律按报价一览表中价格为准</w:t>
      </w:r>
      <w:r>
        <w:rPr>
          <w:rFonts w:hint="eastAsia" w:ascii="仿宋" w:hAnsi="仿宋" w:eastAsia="仿宋" w:cs="仿宋"/>
          <w:b/>
          <w:bCs/>
          <w:color w:val="auto"/>
          <w:sz w:val="24"/>
          <w:highlight w:val="none"/>
        </w:rPr>
        <w:t>。</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15.3</w:t>
      </w:r>
      <w:r>
        <w:rPr>
          <w:rFonts w:hint="eastAsia" w:ascii="仿宋" w:hAnsi="仿宋" w:eastAsia="仿宋" w:cs="仿宋"/>
          <w:color w:val="auto"/>
          <w:sz w:val="24"/>
          <w:highlight w:val="none"/>
        </w:rPr>
        <w:t>报价一览表分项报价加和汇总与总价不一致以分项报价为准进行修正。</w:t>
      </w:r>
    </w:p>
    <w:bookmarkEnd w:id="82"/>
    <w:bookmarkEnd w:id="83"/>
    <w:p>
      <w:pPr>
        <w:pStyle w:val="6"/>
        <w:spacing w:before="0" w:after="0" w:line="360" w:lineRule="auto"/>
        <w:ind w:firstLine="422" w:firstLineChars="150"/>
        <w:rPr>
          <w:rFonts w:ascii="仿宋" w:hAnsi="仿宋" w:eastAsia="仿宋" w:cs="仿宋"/>
          <w:bCs w:val="0"/>
          <w:color w:val="auto"/>
          <w:highlight w:val="none"/>
        </w:rPr>
      </w:pPr>
      <w:bookmarkStart w:id="84" w:name="_Hlt26670489"/>
      <w:bookmarkEnd w:id="84"/>
      <w:bookmarkStart w:id="85" w:name="_Hlt26954734"/>
      <w:bookmarkEnd w:id="85"/>
      <w:bookmarkStart w:id="86" w:name="_Hlt26954850"/>
      <w:bookmarkEnd w:id="86"/>
      <w:bookmarkStart w:id="87" w:name="_Toc14577360"/>
      <w:bookmarkStart w:id="88" w:name="_Toc49090511"/>
      <w:r>
        <w:rPr>
          <w:rFonts w:hint="eastAsia" w:ascii="仿宋" w:hAnsi="仿宋" w:eastAsia="仿宋" w:cs="仿宋"/>
          <w:bCs w:val="0"/>
          <w:color w:val="auto"/>
          <w:highlight w:val="none"/>
        </w:rPr>
        <w:t>16、磋商保证金</w:t>
      </w:r>
    </w:p>
    <w:p>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bCs/>
          <w:color w:val="auto"/>
          <w:sz w:val="24"/>
          <w:highlight w:val="none"/>
        </w:rPr>
        <w:t xml:space="preserve"> 供应商提交的磋商保证金应</w:t>
      </w:r>
      <w:r>
        <w:rPr>
          <w:rFonts w:hint="eastAsia" w:ascii="仿宋" w:hAnsi="仿宋" w:eastAsia="仿宋" w:cs="仿宋"/>
          <w:b/>
          <w:bCs/>
          <w:color w:val="auto"/>
          <w:sz w:val="24"/>
          <w:highlight w:val="none"/>
          <w:u w:val="single"/>
        </w:rPr>
        <w:t>从供应商银行账户电汇或转账形式一次性递交至采购代理机构指定账户</w:t>
      </w:r>
      <w:r>
        <w:rPr>
          <w:rFonts w:hint="eastAsia" w:ascii="仿宋" w:hAnsi="仿宋" w:eastAsia="仿宋" w:cs="仿宋"/>
          <w:b/>
          <w:bCs/>
          <w:color w:val="auto"/>
          <w:sz w:val="24"/>
          <w:highlight w:val="none"/>
        </w:rPr>
        <w:t>。</w:t>
      </w:r>
    </w:p>
    <w:p>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b/>
          <w:bCs/>
          <w:color w:val="auto"/>
          <w:sz w:val="24"/>
          <w:highlight w:val="none"/>
          <w:u w:val="single"/>
        </w:rPr>
        <w:t>竞争性磋商时，对于未按竞争性磋商公告要求提交磋商保证金的，将被视为无效响应而予以拒绝。</w:t>
      </w:r>
    </w:p>
    <w:p>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bCs/>
          <w:color w:val="auto"/>
          <w:sz w:val="24"/>
          <w:highlight w:val="none"/>
        </w:rPr>
        <w:t>未中标的供应商的磋商保证金，将在成交通知书发出</w:t>
      </w:r>
      <w:r>
        <w:rPr>
          <w:rFonts w:hint="eastAsia" w:ascii="仿宋" w:hAnsi="仿宋" w:eastAsia="仿宋" w:cs="仿宋"/>
          <w:color w:val="auto"/>
          <w:sz w:val="24"/>
          <w:highlight w:val="none"/>
        </w:rPr>
        <w:t>之日起5个工作日</w:t>
      </w:r>
      <w:r>
        <w:rPr>
          <w:rFonts w:hint="eastAsia" w:ascii="仿宋" w:hAnsi="仿宋" w:eastAsia="仿宋" w:cs="仿宋"/>
          <w:bCs/>
          <w:color w:val="auto"/>
          <w:sz w:val="24"/>
          <w:highlight w:val="none"/>
        </w:rPr>
        <w:t>内予以退还，不计利息。</w:t>
      </w:r>
    </w:p>
    <w:p>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16.4</w:t>
      </w:r>
      <w:r>
        <w:rPr>
          <w:rFonts w:hint="eastAsia" w:ascii="仿宋" w:hAnsi="仿宋" w:eastAsia="仿宋" w:cs="仿宋"/>
          <w:bCs/>
          <w:color w:val="auto"/>
          <w:sz w:val="24"/>
          <w:highlight w:val="none"/>
        </w:rPr>
        <w:t xml:space="preserve"> 成交供应商的磋商保证金，在合同签署并向采购代理机构进行备案后退还。</w:t>
      </w:r>
    </w:p>
    <w:p>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color w:val="auto"/>
          <w:sz w:val="24"/>
          <w:highlight w:val="none"/>
        </w:rPr>
        <w:t xml:space="preserve">16.5 </w:t>
      </w:r>
      <w:r>
        <w:rPr>
          <w:rFonts w:hint="eastAsia" w:ascii="仿宋" w:hAnsi="仿宋" w:eastAsia="仿宋" w:cs="仿宋"/>
          <w:b/>
          <w:bCs/>
          <w:color w:val="auto"/>
          <w:sz w:val="24"/>
          <w:highlight w:val="none"/>
        </w:rPr>
        <w:t>下列任何一种情况发生时，磋商保证金将不予退还，已经中标的，取消其中标资格，并列入本采购代理机构不良行为记录名单予以公布，在一至两年内不得参与本采购代理机构组织的项目。已经签约的，所签订的合同无效，同时采购人及采购代理机构不承担任何责任：</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（一）供应商提供虚假材料谋取中标（成交）的；</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（二）供应商采取不正当手段诋毁、排挤或串通他人的；</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（三）供应商扰乱开标、评标现场、影响评审或办公秩序的；</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（四）捏造事实、提供虚假材料、以非法手段取得证明材料或者未按规定程序进行质疑、投诉、诉讼，影响项目正常进行的；</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（五）提出不当要求，向采购代理机构或采购人进行恶意敲诈的；</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（六）成交供应商在规定期限内未交纳中标服务费或不缴纳履约保证金的。</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（七）中标（成交）后，无正当理由拒不签订合同或者合同签订后未能履行又不按约赔偿的；</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（八）向评审专家、采购人、其他项目参与人或招标工作人员行贿或者提供其他不正当利益的。</w:t>
      </w:r>
    </w:p>
    <w:p>
      <w:pPr>
        <w:spacing w:line="360" w:lineRule="auto"/>
        <w:ind w:firstLine="361" w:firstLineChars="150"/>
        <w:rPr>
          <w:rFonts w:ascii="仿宋" w:hAnsi="仿宋" w:eastAsia="仿宋" w:cs="仿宋"/>
          <w:b/>
          <w:bCs/>
          <w:color w:val="auto"/>
          <w:sz w:val="24"/>
          <w:highlight w:val="none"/>
        </w:rPr>
      </w:pPr>
      <w:r>
        <w:rPr>
          <w:rFonts w:hint="eastAsia" w:ascii="仿宋" w:hAnsi="仿宋" w:eastAsia="仿宋" w:cs="仿宋"/>
          <w:b/>
          <w:bCs/>
          <w:color w:val="auto"/>
          <w:sz w:val="24"/>
          <w:highlight w:val="none"/>
        </w:rPr>
        <w:t>16.6提出质疑的供应商及被质疑的供应商的磋商保证金在质疑处理期间，暂不予退还。</w:t>
      </w:r>
    </w:p>
    <w:p>
      <w:pPr>
        <w:spacing w:line="360" w:lineRule="auto"/>
        <w:ind w:firstLine="361" w:firstLineChars="150"/>
        <w:rPr>
          <w:rFonts w:ascii="仿宋" w:hAnsi="仿宋" w:eastAsia="仿宋" w:cs="仿宋"/>
          <w:color w:val="auto"/>
          <w:sz w:val="24"/>
          <w:highlight w:val="none"/>
        </w:rPr>
      </w:pPr>
      <w:r>
        <w:rPr>
          <w:rFonts w:hint="eastAsia" w:ascii="仿宋" w:hAnsi="仿宋" w:eastAsia="仿宋" w:cs="仿宋"/>
          <w:b/>
          <w:bCs/>
          <w:color w:val="auto"/>
          <w:sz w:val="24"/>
          <w:highlight w:val="none"/>
        </w:rPr>
        <w:t>16.7成交供应商违反第16.5条规定，并且导致成交无效的，采购人可以与排位在原成交供应商之后第一位的成交候选人签订采购合同或重新委托进行招标，同时，采购人或采购代理机构有权要求原成交供应商承担相应损失（包括但不限于以下损失）：</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（一）原招标活动产生的合理费用；</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（二）如最终成交价高于原成交价的，原成交供应商应当以成交价的差价对采购人进行赔偿。</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17、响应文件的有效期</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17.1自竞争性磋商当日起60天内，响应文件应保持有效。有效期短于这个规定期限的响应，将被拒绝。</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17.2 在特殊情况下，采购人或采购代理机构于原有效期满之前，可向供应商提出延长有效期的要求。这种要求与答复均应采用书面形式。供应商可以拒绝采购人或采购代理机构的这一要求而放弃参加竞争性磋商，磋商保证金将尽快退回。同意延长有效期的供应商既不能要求也不允许修改其响应文件。第16条有关磋商保证金的相关规定在延长期内继续有效，同时受有效期约束的所有权利与义务均延长至新的有效期。</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18、响应文件份数和签署</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18.1 供应商应严格按照竞争性磋商公告要求的份数准备响应文件，每份响应文件须清楚地标明“正本”或“副本”字样。一旦正本和副本不符，以正本为准。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18.2 响应文件的正本和所有的副本均需打印或复印，按顺序胶装成册，并编制响应文件目录索引，且由供应商法定代表人或其授权代表签字。</w:t>
      </w:r>
      <w:r>
        <w:rPr>
          <w:rFonts w:hint="eastAsia" w:ascii="仿宋" w:hAnsi="仿宋" w:eastAsia="仿宋" w:cs="仿宋"/>
          <w:b/>
          <w:color w:val="auto"/>
          <w:sz w:val="24"/>
          <w:highlight w:val="none"/>
          <w:u w:val="single"/>
        </w:rPr>
        <w:t>授权代表为非法定代表人时，须将法定代表人以书面形式出具的“法定代表人授权书”（原件）附在响应文件中。</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18.3 除供应商对错处做必要修改外，响应文件不得行间插字、涂改或增删。如有修改错漏处，必须由响应文件签署人签字或盖章。</w:t>
      </w:r>
    </w:p>
    <w:p>
      <w:pPr>
        <w:pStyle w:val="5"/>
        <w:spacing w:before="156" w:beforeLines="50" w:after="156" w:afterLines="50" w:line="360" w:lineRule="auto"/>
        <w:ind w:firstLine="482" w:firstLineChars="150"/>
        <w:rPr>
          <w:rFonts w:ascii="仿宋" w:hAnsi="仿宋" w:eastAsia="仿宋" w:cs="仿宋"/>
          <w:color w:val="auto"/>
          <w:sz w:val="32"/>
          <w:szCs w:val="22"/>
          <w:highlight w:val="none"/>
          <w:u w:val="none"/>
        </w:rPr>
      </w:pPr>
      <w:r>
        <w:rPr>
          <w:rFonts w:hint="eastAsia" w:ascii="仿宋" w:hAnsi="仿宋" w:eastAsia="仿宋" w:cs="仿宋"/>
          <w:color w:val="auto"/>
          <w:sz w:val="32"/>
          <w:szCs w:val="22"/>
          <w:highlight w:val="none"/>
          <w:u w:val="none"/>
        </w:rPr>
        <w:t>四、响应文件的递交</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19、响应文件的密封和标记</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19.1供应商应将响应文件正本和所有副本密封，并加盖供应商公章。不论供应商中标与否，响应文件均不退回。</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19.2 密封的响应文件应：</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 在封皮上注明供应商名称，如因标注不清而产生的后果由供应商自负。按本项目竞争性磋商公告中注明的接收时间和接收地点送达采购代理机构。</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(2) 注明投标项目名称、项目编号及“开标时启封”的字样。</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(3) 所有响应文件密封口须加盖供应商公章、法定代表人或授权委托人签字或盖章。</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19.3 如果响应文件被宣布为“迟到”时，采购代理机构将原封退回。</w:t>
      </w:r>
    </w:p>
    <w:p>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19.4 未按要求密封和加写标记的响应文件，采购代理机构将予以拒绝。采购代理机构对响应文件的误投或过早启封概不负责，对由此造成提前开封的响应文件，采购代理机构有权拒绝。</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20、响应文件递交截止时间</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20.1供应商应当在竞争性磋商文件要求提交响应文件的截止时间前，将响应文件送达规定地点。</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20.2 采购人或采购代理机构可以按照规定，通过修改竞争性磋商文件有权酌情延长响应文件递交截止时间，以书面形式通知所有购买竞争性磋商文件的供应商。在此情况下，供应商的所有权利和义务以及供应商受制的截止时间均应以延长后新的截止时间为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20.3迟于响应文件递交截止时间的，采购代理机构将有权拒绝接收其响应文件。公证人员或供应商代表当众检验响应文件的密封情况，确认无误后方可进行拆封。</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21、迟交的响应文件</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 采购代理机构将拒绝并原封退回在竞争性磋商公告规定的响应文件递交响应文件递交截止时间后收到的任何响应文件。</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21.2采购代理机构对响应文件在送达过程中的遗失或损坏不负责。</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22、响应文件的修改和撤回</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22.1 供应商在递交响应文件后，可以修改或撤回其响应文件，但这种修改和撤回，必须在规定的响应文件递交响应文件递交截止时间前，以书面形式并加盖供应商公章通知采购代理机构，修改或撤回其响应文件。</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22.2 供应商的修改或撤回文件应按规定进行编制、密封、标记和发送，并应在封套上加注“修改”和“撤回”字样。修改文件必须在响应文件递交响应文件递交截止时间前送达采购代理机构。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22.3 在响应文件递交截止时间之后，供应商不得对其响应文件作任何修改。</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22.4 在响应文件递交截止时间至竞争性磋商文件中规定的响应文件有效期满之间的这段时间内，供应商不得撤回其投标，否则其磋商保证金将不予退还。</w:t>
      </w:r>
    </w:p>
    <w:p>
      <w:pPr>
        <w:pStyle w:val="5"/>
        <w:spacing w:before="156" w:beforeLines="50" w:after="156" w:afterLines="50" w:line="360" w:lineRule="auto"/>
        <w:ind w:firstLine="482" w:firstLineChars="150"/>
        <w:rPr>
          <w:rFonts w:ascii="仿宋" w:hAnsi="仿宋" w:eastAsia="仿宋" w:cs="仿宋"/>
          <w:color w:val="auto"/>
          <w:sz w:val="32"/>
          <w:szCs w:val="22"/>
          <w:highlight w:val="none"/>
          <w:u w:val="none"/>
        </w:rPr>
      </w:pPr>
      <w:r>
        <w:rPr>
          <w:rFonts w:hint="eastAsia" w:ascii="仿宋" w:hAnsi="仿宋" w:eastAsia="仿宋" w:cs="仿宋"/>
          <w:color w:val="auto"/>
          <w:sz w:val="32"/>
          <w:szCs w:val="22"/>
          <w:highlight w:val="none"/>
          <w:u w:val="none"/>
        </w:rPr>
        <w:t>五、磋商与评审</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23、磋商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23.1采购代理机构按本须知规定的时间、地点主持竞争性磋商活动。磋商活动由采购代理机构、采购人、供应商代表及有关方面代表参加。</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23.2参加磋商的供应商法定代表人或授权委托代理人应携带本人身份证明签名报到，以证明其出席竞争性磋商活动。供应商法定代表人或授权委托代理人未准时参加磋商活动的视为自动放弃竞争性磋商，其响应文件将不予评审、不予退还。</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23.3现场由公证人员或供应商代表查验响应文件密封及签章情况。</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23.4磋商小组对供应商递交的响应文件进行审查，可根据评审情况分别对审查通过的供应商进行磋商。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23.5视评审情况需要，供应商代表进行澄清、回复磋商小组的提问；</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23.6视评审情况需要，进行包括但不限于价格、技术以及售后服务等商务条款的商讨；</w:t>
      </w:r>
    </w:p>
    <w:p>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23.7供应商最终填写报价（</w:t>
      </w:r>
      <w:r>
        <w:rPr>
          <w:rFonts w:hint="eastAsia" w:ascii="仿宋" w:hAnsi="仿宋" w:eastAsia="仿宋" w:cs="仿宋"/>
          <w:b/>
          <w:color w:val="auto"/>
          <w:sz w:val="24"/>
          <w:highlight w:val="none"/>
        </w:rPr>
        <w:t>至少二次，响应文件中的报价为首次报价</w:t>
      </w:r>
      <w:r>
        <w:rPr>
          <w:rFonts w:hint="eastAsia" w:ascii="仿宋" w:hAnsi="仿宋" w:eastAsia="仿宋" w:cs="仿宋"/>
          <w:b/>
          <w:bCs/>
          <w:color w:val="auto"/>
          <w:sz w:val="24"/>
          <w:highlight w:val="none"/>
        </w:rPr>
        <w:t>）、填写承诺函；</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23.8报价超预算者不成交；</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23.9磋商小组经过与供应商的磋商，根据供应商的承诺、响应程度和供应商的最终报价进行综合评审。</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23.10如磋商过程中出现本竞争性磋商文件未尽事宜，由磋商小组根据有关法律、法规以及项目实际情况讨论决定。</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24、磋商小组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24.1 采购代理机构将根据项目特点和有关规定组建磋商小组，由采购人代表和评审专家组成，并独立开展评审工作。磋商小组对响应文件进行审查、澄清、评估、比较。</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24.2采购人可以推荐代表参加磋商小组。但人数不得超过磋商小组成员总人数的三分之一。参加评审的采购人代表，必须向采购代理机构提交采购人代表身份授权函或证明。</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24.3磋商小组应以科学、公正的态度参加评审工作并推荐成交候选人。评审专家在评审过程中不受任何干扰，独立、负责地提出评审意见，并对自己的评审意见承担责任。</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24.4磋商小组将对供应商的商业、技术秘密予以保密。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24.5未经磋商小组批准，其他任何人员禁止进入评审现场。</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24.6 磋商小组成员负责具体的评审事务，并独立履行以下职责：</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24.6.1 审查、评价响应文件是否符合竞争性磋商文件的要求，并作出评价；</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24.6.2 要求供应商对响应文件有关事项作出澄清或者说明；</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24.6.3 对响应文件进行比较和评价；</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24.6.4 确定成交候选人名单，以及根据采购人委托直接确定成交供应商；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24.6.5 向采购人、采购代理机构或者有关部门报告评标中发现的违法行为。</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24.7 磋商小组成员应当履行下列义务：</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24.7.1 遵纪守法，客观、公正、廉洁地履行职责；</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24.7.2 按照竞争性磋商文件规定的评标办法进行评审，对评审意见承担个人责任；</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24.7.3 对评审过程和结果，以及供应商的商业秘密保密；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24.7.4 参与评审报告的起草；</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24.7.5 配合相关部门的投诉处理工作；</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24.7.6 配合采购代理机构答复供应商提出的质疑。</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25、磋商过程的保密与公正</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25.1竞争性磋商结束后，直至向成交供应商授予合同时止，凡是与审查、澄清、评价和比较投标的有关资料以及授标建议等，均不得向供应商或与评审无关的其他人员透露。有关成交信息，须经竞争性磋商文件规定的程序报批后，由采购代理机构书面通知有关单位。采购代理机构对除此以外的其他渠道得悉的任何信息都不承担责任，并保留对其信息来源追究的权力。</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25.2在响应文件的审查、澄清、评价和比较以及授予合同的过程中，供应商试图向采购人、采购代理机构和磋商小组成员施加任何影响，都将会导致其投标被拒绝，并承担相应的法律责任。</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25.3 在评审期间，采购代理机构将通过指定联络人（非磋商小组成员）与供应商进行联系。</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26、磋商的澄清</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26.1评审期间，为有助于对响应文件的审查、评价和比较，磋商小组有权要求供应商对响应文件中含义不明确的内容进行澄清。</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26.2供应商必须按照磋商小组通知的时间、地点派技术和商务人员进行答疑和澄清，书面澄清的内容须由供应商法定代表人或授权代表签署，并作为响应文件的补充部分，但实质性内容不得做任何更改。</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26.3 接到磋商小组澄清要求的供应商如未按规定做出澄清，其风险由供应商自行承担。</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27、对响应文件的审查</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27.1响应文件初审分为资格性检查和符合性检查。</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资格性检查：依据法律法规和竞争性磋商文件的规定，对响应文件中的资格证明文件、磋商保证金等进行审查，以确定供应商是否具备参与竞争性磋商的资格。</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符合性检查：依据竞争性磋商文件的规定，从响应文件的有效性、完整性和对竞争性磋商文件的响应程度进行审查，以确定是否对竞争性磋商文件的实质性要求作出响应。</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27.2在详细评审之前，磋商小组将首先审查每份响应文件是否实质性响应了竞争性磋商文件的要求。实质性响应是与竞争性磋商文件要求的全部实质性条款、条件和规格相符且其余非实质性技术及商务条款没有重大偏离和保留。</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所谓重大偏离或保留是指与竞争性磋商文件规定的主要技术指标或重要的商务条款或除上述以外的多项指标要求存在负偏离，或者在实质上与竞争性磋商文件不一致，而且限制了合同中采购单位的权利或供应商的义务，纠正这些偏离或保留将会对其他实质性响应要求的供应商的竞争地位产生不公正的影响。重大偏离的认定需经过磋商小组三分之二及以上成员的认定。磋商小组判断响应文件的响应性只根据响应文件本身的内容，而不寻求外部的证据。</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27.3如果响应文件实质上没有响应竞争性磋商文件的要求，磋商小组将予以拒绝，供应商不得通过修改或撤销不合要求的偏离或保留而使其成为实质性响应的投标。</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27.4磋商小组将对确定为实质性响应的响应文件进行进一步审核，看其是否有计算上或累加上的算术错误，修正错误的原则如下：</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如果用数字表示的金额和用文字表示的金额不一致时，应以文字表示的金额为准进行修正；</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当单价与数量的乘积和总价不一致时，以单价为准进行修正。只有在磋商小组认为单价有明显的小数点错误时，才能以标出的总价为准，并修改单价；</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数量不符合竞争性磋商文件要求的作为未实质性响应竞争性磋商文件处理，该响应文件将不予以详细评审，也不得中标；</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(4)当分项报价与汇总总价不符时，以分项报价为准重新计算总价（总价已注明优惠的除外）。</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27.5磋商小组将按上述修正错误的方法调整响应文件中的报价，调整后的价格应对供应商具有约束力。如果供应商不接受修正后的价格，则其响应文件将被拒绝。</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27.6磋商小组将允许修正响应文件中不构成重大偏离的、微小的、非正规的、不一致的或不规则的地方。</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28、无效响应条款和废标条款</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28.1无效响应条款</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（1）未按本次竞争性磋商公告及竞争性磋商文件相关要求交纳磋商保证金的；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（2）供应商不具备竞争性磋商文件中规定资格要求的；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（3）未按照竞争性磋商文件规定要求密封、无单位盖章、无法定代表人或授权代理人签字盖章的；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（4）供应商在报价时采用选择性或是附有条件的报价；</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（5）经磋商小组认定与竞争性磋商文件有重大偏离；</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（6）响应文件的有效期不满足竞争性磋商文件要求的；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（7）报价超过规定的预算金额或者最高限价的；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（8）有下列情形之一的，视为供应商串通投标，其投标无效：</w:t>
      </w:r>
    </w:p>
    <w:p>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① 不同供应商的响应文件由同一单位或者个人编制；</w:t>
      </w:r>
    </w:p>
    <w:p>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② 不同供应商委托同一单位或者个人办理投标事宜；</w:t>
      </w:r>
    </w:p>
    <w:p>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③ 不同供应商的响应文件载明的项目管理成员或者联系人员为同一人；</w:t>
      </w:r>
    </w:p>
    <w:p>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④ 不同供应商的响应文件异常一致或者投标报价呈规律性差异；</w:t>
      </w:r>
    </w:p>
    <w:p>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⑤ 不同供应商的响应文件相互混装；</w:t>
      </w:r>
    </w:p>
    <w:p>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⑥不同供应商的磋商保证金从同一单位或者个人的账户转出。</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bCs/>
          <w:color w:val="auto"/>
          <w:sz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（10）响应文件含有采购人不能接受的附加条件的；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（11）竞争性磋商文件明确规定无效的其他情形；</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（12）其他被磋商小组认定无效的情况；</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（13）其他法律、法规及本竞争性磋商文件规定的属无效响应的情形。</w:t>
      </w:r>
    </w:p>
    <w:p>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（14）被“信用中国”网站（www.creditchina.gov.cn）</w:t>
      </w:r>
      <w:r>
        <w:rPr>
          <w:rFonts w:hint="eastAsia" w:ascii="仿宋" w:hAnsi="仿宋" w:eastAsia="仿宋" w:cs="仿宋"/>
          <w:color w:val="auto"/>
          <w:sz w:val="24"/>
          <w:highlight w:val="none"/>
        </w:rPr>
        <w:t>和“中国政府采购网”网站（www.ccgp.gov.cn）</w:t>
      </w:r>
      <w:r>
        <w:rPr>
          <w:rFonts w:hint="eastAsia" w:ascii="仿宋" w:hAnsi="仿宋" w:eastAsia="仿宋" w:cs="仿宋"/>
          <w:color w:val="auto"/>
          <w:sz w:val="24"/>
          <w:highlight w:val="none"/>
        </w:rPr>
        <w:t>、中国执行信息公开网列入失信被执行人、被执行人、重大税收违法案件当事人名单、严重失信行为记录名单；</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28.2废标条款：</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（1）符合专业条件的供应商或者对竞争性磋商文件作实质响应的供应商每标包不足三家的；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（2）出现影响招标公正的违法、违规行为的；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（3）供应商的报价均超过了采购预算，采购人不能接受的；</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（4）因重大变故，招标任务取消的。</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29、评审</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29.1磋商小组将仅对按照本须知有关规定确定为实质上响应竞争性磋商文件要求的响应文件进行评审。</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29.2本项目评标办法采用综合评分法，是指响应文件满足竞争性磋商文件全部实质性要求且按照评审因素的量化指标评审得分最高的供应商为第一成交候选人的评分办法（详见第五章评标方法与评标标准）</w:t>
      </w:r>
    </w:p>
    <w:p>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 xml:space="preserve">29.3 </w:t>
      </w:r>
      <w:r>
        <w:rPr>
          <w:rFonts w:hint="eastAsia" w:ascii="仿宋" w:hAnsi="仿宋" w:eastAsia="仿宋" w:cs="仿宋"/>
          <w:color w:val="auto"/>
          <w:sz w:val="24"/>
          <w:highlight w:val="none"/>
        </w:rPr>
        <w:t>磋商小组有权评定成交供应商，同时也有权拒绝任何或所有供应商中标。同时，为维护国家利益，采购人在授予合同之前仍有选择或拒绝任何或全部投标的权力，且无须向受影响的供应商承担任何责任。</w:t>
      </w:r>
    </w:p>
    <w:p>
      <w:pPr>
        <w:pStyle w:val="5"/>
        <w:spacing w:before="156" w:beforeLines="50" w:after="156" w:afterLines="50" w:line="360" w:lineRule="auto"/>
        <w:ind w:firstLine="482" w:firstLineChars="150"/>
        <w:rPr>
          <w:rFonts w:ascii="仿宋" w:hAnsi="仿宋" w:eastAsia="仿宋" w:cs="仿宋"/>
          <w:color w:val="auto"/>
          <w:sz w:val="32"/>
          <w:szCs w:val="22"/>
          <w:highlight w:val="none"/>
          <w:u w:val="none"/>
        </w:rPr>
      </w:pPr>
      <w:r>
        <w:rPr>
          <w:rFonts w:hint="eastAsia" w:ascii="仿宋" w:hAnsi="仿宋" w:eastAsia="仿宋" w:cs="仿宋"/>
          <w:color w:val="auto"/>
          <w:sz w:val="32"/>
          <w:szCs w:val="22"/>
          <w:highlight w:val="none"/>
          <w:u w:val="none"/>
        </w:rPr>
        <w:t>六、定标</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30、确定预成交供应商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30.1磋商小组根据本竞争性磋商文件规定评分办法与评分标准向采购人推荐成交候选人。</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30.2采购人应当自收到评标报告之日起５个工作日内，在评标报告确定的成交供应商候选人名单中按顺序确定成交供应商。采购人在收到评标报告5个工作日内未按评标报告推荐的成交供应商候选人顺序确定成交供应商，又不能说明合法理由的，视同按评标报告推荐的顺序确定排名第一的成交供应商候选人为成交供应商。采购人也可以事前授权评委会直接确定预成交供应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30.3预成交供应商确定后，采购代理机构将预成交供应商、预成交金额、评委名单等信息在相关媒体网站进行公示，公示时间为1个工作日。</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31、质疑处理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供应商认为竞争性磋商采购文件、磋商过程、中标或者成交结果使自己的权益受到损害的，可以在知道或者应知其权益受到损害之日起七个工作日内，以书面形式向采购人、采购代理机构提出，并必须在上述规定期限内一次性提出针对同一采购程序环节的质疑，同时出具相关必要证明（证据）材料。 </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31.2提出质疑的供应商应当是参与所质疑项目招标活动的供应商。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31.3供应商提出质疑应当提交质疑函和必要的证明材料。质疑函应当包括下列内容：</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（一）供应商的姓名或者名称、地址、邮编、联系人及联系电话；</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（二）质疑项目的名称、编号；</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（三）具体、明确的质疑事项和与质疑事项相关的请求；</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（四）事实依据；</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（五）必要的法律依据；</w:t>
      </w:r>
    </w:p>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（六）提出质疑的日期。</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供应商为自然人的，应当由本人签字；供应商为法人或者其他组织的，应当由法定代表人、主要负责人签字或者盖章，并加盖公章，不得加盖合同专用章、投标专用章等各种形式的专用章。</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供应商可以委托代理人进行质疑，应当提交供应商签字盖章的授权委托书，授权委托书应当载明代理人的姓名或者名称、代理事项、具体权限、期限和相关事项。</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31.4以联合体形式参加采购活动的，其投诉应当由组成联合体的所有供应商共同提出。</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31.5供应商未在第31.1条规定的时限内向招标代理机构提出质疑、质疑不符合第31.1至第31.4条规定的将被视为无效质疑，采购代理机构不予受理。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31.6在有效质疑期内，若质疑仅是对采购文件设置的资质、条件、技术要求、商务条款、评标办法（评分标准）等内容的，因该等质疑的设置已在本章节第7条（采购文件的澄清）中予以设定，此时不再作为有效质疑被审查。</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31.7提出质疑的供应商及被质疑的供应商的磋商保证金在质疑处理期间，暂不予退还。</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31.8采购代理机构将在收到磋商供应商的书面质疑后七个工作日内作出答复，但答复的内容不得涉及商业秘密。</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31.9被质疑的供应商应当配合招标代理机构对质疑内容调查取证，并提供所需的相关资料，否则，视同质疑成立。</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31.10在有效质疑期内，如有参加磋商的供应商提出有效质疑，并因此可能对成交结果产生影响，而最终被取消成交的，采购代理机构对成交单位不承担任何责任。</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31.11若异议供应商对采购代理机构答复不满意的，双方应通过友好协商解决；协商不成的，可向常州仲裁委员会申请仲裁。</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31.12供应商提出书面质疑必须有理、有据，不得恶意质疑或提交虚假质疑。否则，一经查实，采购代理机构有权依据规定报请行业监管部门对该供应商进行相应的行政处罚。</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32、成交通知书</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32.l 预成交公告发布后，招标代理机构将向成交供应商发出成交通知书。</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32.2 成交通知书将是合同的一个组成部分。对采购人和成交供应商均具有法律效力。成交通知书发出后，采购人不得违法改变成交结果，成交供应商无正当理由不得放弃中标，且不影响其成交服务费的支付。</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32.3采购代理机构及采购人对未成交供应商不承担解释其未中标原因的义务。</w:t>
      </w:r>
    </w:p>
    <w:p>
      <w:pPr>
        <w:pStyle w:val="5"/>
        <w:spacing w:before="156" w:beforeLines="50" w:after="156" w:afterLines="50" w:line="360" w:lineRule="auto"/>
        <w:ind w:firstLine="482" w:firstLineChars="150"/>
        <w:rPr>
          <w:rFonts w:ascii="仿宋" w:hAnsi="仿宋" w:eastAsia="仿宋" w:cs="仿宋"/>
          <w:color w:val="auto"/>
          <w:sz w:val="32"/>
          <w:szCs w:val="22"/>
          <w:highlight w:val="none"/>
          <w:u w:val="none"/>
        </w:rPr>
      </w:pPr>
      <w:r>
        <w:rPr>
          <w:rFonts w:hint="eastAsia" w:ascii="仿宋" w:hAnsi="仿宋" w:eastAsia="仿宋" w:cs="仿宋"/>
          <w:color w:val="auto"/>
          <w:sz w:val="32"/>
          <w:szCs w:val="22"/>
          <w:highlight w:val="none"/>
          <w:u w:val="none"/>
        </w:rPr>
        <w:t>七、授予合同</w:t>
      </w:r>
    </w:p>
    <w:p>
      <w:pPr>
        <w:pStyle w:val="6"/>
        <w:spacing w:before="0" w:after="0" w:line="360" w:lineRule="auto"/>
        <w:ind w:firstLine="422" w:firstLineChars="150"/>
        <w:rPr>
          <w:rFonts w:ascii="仿宋" w:hAnsi="仿宋" w:eastAsia="仿宋" w:cs="仿宋"/>
          <w:bCs w:val="0"/>
          <w:color w:val="auto"/>
          <w:highlight w:val="none"/>
        </w:rPr>
      </w:pPr>
      <w:r>
        <w:rPr>
          <w:rFonts w:hint="eastAsia" w:ascii="仿宋" w:hAnsi="仿宋" w:eastAsia="仿宋" w:cs="仿宋"/>
          <w:bCs w:val="0"/>
          <w:color w:val="auto"/>
          <w:highlight w:val="none"/>
        </w:rPr>
        <w:t>33、签订合同</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33.l采购人和成交供应商应当自成交通知书发出之日起三十日内，按照竞争性磋商文件和成交供应商的响应文件订立书面合同。采购人和成交供应商不得再行订立背离合同实质性内容的其他协议。</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33.2 签订合同及合同条款应以竞争性磋商文件、成交供应商的响应文件及招标过程中有关澄清、承诺文件为依据。</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33.3 签订合同后，成交供应商不得将合同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33.4成交供应商未按期签订合同的，采购人可以与排位在成交供应商之后第一位的成交候选人签订合同或重新委托进行招标：</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33.4.1成交供应商因不可抗力导致无法按期签订合同的，应当在不可抗力发生之日起5日内提出，并提供书面证据，采购人及成交供应商互不承担任何责任及损失。</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33.4.2成交供应商无正当理由未在规定的时间内与采购人签订合同的，视为自动放弃中标资格，采购代理机构有权不予退还其所交的磋商保证金，由此给采购人造成损失的，成交供应商还应承担赔偿责任。</w:t>
      </w:r>
    </w:p>
    <w:bookmarkEnd w:id="87"/>
    <w:bookmarkEnd w:id="88"/>
    <w:p>
      <w:pPr>
        <w:rPr>
          <w:rFonts w:ascii="仿宋" w:hAnsi="仿宋" w:eastAsia="仿宋" w:cs="仿宋"/>
          <w:color w:val="auto"/>
          <w:highlight w:val="none"/>
        </w:rPr>
      </w:pPr>
      <w:bookmarkStart w:id="89" w:name="_Toc364779711"/>
      <w:r>
        <w:rPr>
          <w:rFonts w:hint="eastAsia" w:ascii="仿宋" w:hAnsi="仿宋" w:eastAsia="仿宋" w:cs="仿宋"/>
          <w:color w:val="auto"/>
          <w:highlight w:val="none"/>
        </w:rPr>
        <w:br w:type="page"/>
      </w:r>
    </w:p>
    <w:bookmarkEnd w:id="89"/>
    <w:p>
      <w:pPr>
        <w:spacing w:line="360" w:lineRule="auto"/>
        <w:jc w:val="center"/>
        <w:outlineLvl w:val="0"/>
        <w:rPr>
          <w:rStyle w:val="26"/>
          <w:rFonts w:ascii="仿宋" w:hAnsi="仿宋" w:eastAsia="仿宋" w:cs="仿宋"/>
          <w:color w:val="auto"/>
          <w:sz w:val="24"/>
          <w:highlight w:val="none"/>
        </w:rPr>
      </w:pPr>
      <w:r>
        <w:rPr>
          <w:rFonts w:hint="eastAsia" w:ascii="仿宋" w:hAnsi="仿宋" w:eastAsia="仿宋" w:cs="仿宋"/>
          <w:b/>
          <w:color w:val="auto"/>
          <w:sz w:val="44"/>
          <w:szCs w:val="21"/>
          <w:highlight w:val="none"/>
        </w:rPr>
        <w:t>第三章  项目需求</w:t>
      </w:r>
    </w:p>
    <w:p>
      <w:pPr>
        <w:pStyle w:val="56"/>
        <w:numPr>
          <w:ilvl w:val="255"/>
          <w:numId w:val="0"/>
        </w:numPr>
        <w:spacing w:line="360" w:lineRule="auto"/>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一、采购标的：</w:t>
      </w:r>
    </w:p>
    <w:tbl>
      <w:tblPr>
        <w:tblStyle w:val="23"/>
        <w:tblW w:w="9595"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17"/>
        <w:gridCol w:w="2070"/>
        <w:gridCol w:w="675"/>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8"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包号</w:t>
            </w:r>
          </w:p>
        </w:tc>
        <w:tc>
          <w:tcPr>
            <w:tcW w:w="3417"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标的名称</w:t>
            </w:r>
          </w:p>
        </w:tc>
        <w:tc>
          <w:tcPr>
            <w:tcW w:w="2070"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采购包预算金额</w:t>
            </w:r>
          </w:p>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675"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数量</w:t>
            </w:r>
          </w:p>
        </w:tc>
        <w:tc>
          <w:tcPr>
            <w:tcW w:w="2595" w:type="dxa"/>
            <w:vAlign w:val="center"/>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38"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01</w:t>
            </w:r>
          </w:p>
        </w:tc>
        <w:tc>
          <w:tcPr>
            <w:tcW w:w="3417"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常州市钟楼区住房和城乡建设局关于202</w:t>
            </w:r>
            <w:r>
              <w:rPr>
                <w:rFonts w:ascii="仿宋" w:hAnsi="仿宋" w:eastAsia="仿宋" w:cs="仿宋"/>
                <w:color w:val="auto"/>
                <w:sz w:val="24"/>
                <w:highlight w:val="none"/>
              </w:rPr>
              <w:t>4</w:t>
            </w:r>
            <w:r>
              <w:rPr>
                <w:rFonts w:hint="eastAsia" w:ascii="仿宋" w:hAnsi="仿宋" w:eastAsia="仿宋" w:cs="仿宋"/>
                <w:color w:val="auto"/>
                <w:sz w:val="24"/>
                <w:highlight w:val="none"/>
              </w:rPr>
              <w:t>年政府项目前期国土咨询调查服务（一标包）</w:t>
            </w:r>
          </w:p>
        </w:tc>
        <w:tc>
          <w:tcPr>
            <w:tcW w:w="2070"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14.4</w:t>
            </w:r>
          </w:p>
        </w:tc>
        <w:tc>
          <w:tcPr>
            <w:tcW w:w="675"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595" w:type="dxa"/>
            <w:vMerge w:val="restart"/>
            <w:vAlign w:val="center"/>
          </w:tcPr>
          <w:p>
            <w:pPr>
              <w:spacing w:line="440" w:lineRule="exact"/>
              <w:rPr>
                <w:rFonts w:ascii="仿宋" w:hAnsi="仿宋" w:eastAsia="仿宋" w:cs="仿宋"/>
                <w:color w:val="auto"/>
                <w:kern w:val="0"/>
                <w:sz w:val="24"/>
                <w:highlight w:val="none"/>
              </w:rPr>
            </w:pPr>
            <w:r>
              <w:rPr>
                <w:rFonts w:hint="eastAsia" w:ascii="仿宋" w:hAnsi="仿宋" w:eastAsia="仿宋" w:cs="仿宋"/>
                <w:color w:val="auto"/>
                <w:sz w:val="28"/>
                <w:szCs w:val="28"/>
                <w:highlight w:val="none"/>
              </w:rPr>
              <w:t>包含整年度各类政府项目前期咨询、未征地供地图斑提取、叠加城规土规分析、涉林情况、三调现状、不动产调取等。提供相关CAD成果，图件、图层成果及书面报告成果等。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838"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02</w:t>
            </w:r>
          </w:p>
        </w:tc>
        <w:tc>
          <w:tcPr>
            <w:tcW w:w="3417" w:type="dxa"/>
            <w:vAlign w:val="center"/>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常州市钟楼区住房和城乡建设局关于202</w:t>
            </w:r>
            <w:r>
              <w:rPr>
                <w:rFonts w:ascii="仿宋" w:hAnsi="仿宋" w:eastAsia="仿宋" w:cs="仿宋"/>
                <w:color w:val="auto"/>
                <w:sz w:val="24"/>
                <w:highlight w:val="none"/>
              </w:rPr>
              <w:t>4</w:t>
            </w:r>
            <w:r>
              <w:rPr>
                <w:rFonts w:hint="eastAsia" w:ascii="仿宋" w:hAnsi="仿宋" w:eastAsia="仿宋" w:cs="仿宋"/>
                <w:color w:val="auto"/>
                <w:sz w:val="24"/>
                <w:highlight w:val="none"/>
              </w:rPr>
              <w:t>年政府项目前期国土咨询调查服务（二标包）</w:t>
            </w:r>
          </w:p>
        </w:tc>
        <w:tc>
          <w:tcPr>
            <w:tcW w:w="2070"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14.4</w:t>
            </w:r>
          </w:p>
        </w:tc>
        <w:tc>
          <w:tcPr>
            <w:tcW w:w="675"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595" w:type="dxa"/>
            <w:vMerge w:val="continue"/>
            <w:vAlign w:val="center"/>
          </w:tcPr>
          <w:p>
            <w:pPr>
              <w:spacing w:line="440" w:lineRule="exact"/>
              <w:rPr>
                <w:rFonts w:ascii="仿宋" w:hAnsi="仿宋" w:eastAsia="仿宋" w:cs="仿宋"/>
                <w:color w:val="auto"/>
                <w:kern w:val="0"/>
                <w:sz w:val="24"/>
                <w:highlight w:val="none"/>
              </w:rPr>
            </w:pPr>
          </w:p>
        </w:tc>
      </w:tr>
    </w:tbl>
    <w:p>
      <w:pPr>
        <w:pStyle w:val="56"/>
        <w:numPr>
          <w:ilvl w:val="255"/>
          <w:numId w:val="0"/>
        </w:numPr>
        <w:spacing w:line="360" w:lineRule="auto"/>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二、商务要求：</w:t>
      </w:r>
    </w:p>
    <w:p>
      <w:pPr>
        <w:spacing w:line="440" w:lineRule="exact"/>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1.实施的期限和范围：</w:t>
      </w:r>
    </w:p>
    <w:p>
      <w:pPr>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1.1实施的期限：一年。自合同签订生效之日起计。</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1.2实施的范围：常州市钟楼区住房和城乡建设局2024年政府项目。</w:t>
      </w:r>
    </w:p>
    <w:p>
      <w:pPr>
        <w:pStyle w:val="22"/>
        <w:numPr>
          <w:ilvl w:val="255"/>
          <w:numId w:val="0"/>
        </w:numPr>
        <w:ind w:firstLine="480"/>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rPr>
        <w:t>.承包方式：固定全费用单价，按时结算。</w:t>
      </w:r>
    </w:p>
    <w:p>
      <w:pPr>
        <w:pStyle w:val="7"/>
        <w:snapToGrid w:val="0"/>
        <w:spacing w:line="440" w:lineRule="exact"/>
        <w:ind w:firstLine="480" w:firstLineChars="20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注：本次招标为年度集约化招标，实际工作量与目前暂估量会有差异，请投标人报价时综合考虑，后期不接受任何理由的价格调增。一年服务期满或服务期内2家成交供应商单签合同费用合并累计达</w:t>
      </w:r>
      <w:r>
        <w:rPr>
          <w:rFonts w:ascii="仿宋" w:hAnsi="仿宋" w:eastAsia="仿宋" w:cs="仿宋"/>
          <w:color w:val="auto"/>
          <w:kern w:val="2"/>
          <w:szCs w:val="24"/>
          <w:highlight w:val="none"/>
        </w:rPr>
        <w:t>28.8</w:t>
      </w:r>
      <w:r>
        <w:rPr>
          <w:rFonts w:hint="eastAsia" w:ascii="仿宋" w:hAnsi="仿宋" w:eastAsia="仿宋" w:cs="仿宋"/>
          <w:color w:val="auto"/>
          <w:kern w:val="2"/>
          <w:szCs w:val="24"/>
          <w:highlight w:val="none"/>
        </w:rPr>
        <w:t>万元，以任一先到为止，该项目自动终止，需另行招标。合同履行初期采购人将按照平均分配原则进行项目委托，若后期采购人认为2家成交供应商配合等不好的，采购人有权对工作分配进行调整，甚至经采购人多次要求整改未果的，采购人有权提前解除合同，中标人不得有异议。</w:t>
      </w:r>
    </w:p>
    <w:p>
      <w:pPr>
        <w:pStyle w:val="7"/>
        <w:snapToGrid w:val="0"/>
        <w:spacing w:line="440" w:lineRule="exact"/>
        <w:ind w:firstLine="480" w:firstLineChars="200"/>
        <w:rPr>
          <w:rFonts w:ascii="Times New Roman"/>
          <w:color w:val="auto"/>
          <w:szCs w:val="24"/>
          <w:highlight w:val="none"/>
        </w:rPr>
      </w:pPr>
      <w:r>
        <w:rPr>
          <w:rFonts w:ascii="仿宋" w:hAnsi="仿宋" w:eastAsia="仿宋" w:cs="仿宋"/>
          <w:color w:val="auto"/>
          <w:kern w:val="2"/>
          <w:szCs w:val="24"/>
          <w:highlight w:val="none"/>
        </w:rPr>
        <w:t>3</w:t>
      </w:r>
      <w:r>
        <w:rPr>
          <w:rFonts w:hint="eastAsia" w:ascii="仿宋" w:hAnsi="仿宋" w:eastAsia="仿宋" w:cs="仿宋"/>
          <w:color w:val="auto"/>
          <w:kern w:val="2"/>
          <w:szCs w:val="24"/>
          <w:highlight w:val="none"/>
        </w:rPr>
        <w:t>.报价组成：本项目报价包括采购文件所确定的采购范围相应服务咨询费用，包括但不限于提供技术服务费、咨询服务人员相关费用（服务费、交通费、通讯费、补贴和福利等）、办公场所及设施、设备、保险、劳保、</w:t>
      </w:r>
      <w:r>
        <w:rPr>
          <w:rFonts w:hint="eastAsia" w:ascii="仿宋" w:hAnsi="仿宋" w:eastAsia="仿宋" w:cs="仿宋"/>
          <w:color w:val="auto"/>
          <w:kern w:val="2"/>
          <w:szCs w:val="24"/>
          <w:highlight w:val="none"/>
        </w:rPr>
        <w:t>以及可能涉及的相关查询调研费、</w:t>
      </w:r>
      <w:r>
        <w:rPr>
          <w:rFonts w:hint="eastAsia" w:ascii="仿宋" w:hAnsi="仿宋" w:eastAsia="仿宋" w:cs="仿宋"/>
          <w:color w:val="auto"/>
          <w:kern w:val="2"/>
          <w:szCs w:val="24"/>
          <w:highlight w:val="none"/>
        </w:rPr>
        <w:t>管理、利润、规费、税金、政策性文件规定及合同包含的所有风险、责任等各项应有费用，以及为完成该项服务项目所涉及到的一切相关费用。</w:t>
      </w:r>
    </w:p>
    <w:p>
      <w:pPr>
        <w:spacing w:line="440" w:lineRule="exact"/>
        <w:ind w:firstLine="482" w:firstLineChars="200"/>
        <w:contextualSpacing/>
        <w:rPr>
          <w:rFonts w:ascii="仿宋" w:hAnsi="仿宋" w:eastAsia="仿宋" w:cs="仿宋"/>
          <w:b/>
          <w:bCs/>
          <w:color w:val="auto"/>
          <w:sz w:val="24"/>
          <w:highlight w:val="none"/>
        </w:rPr>
      </w:pPr>
      <w:r>
        <w:rPr>
          <w:rFonts w:ascii="仿宋" w:hAnsi="仿宋" w:eastAsia="仿宋" w:cs="仿宋"/>
          <w:b/>
          <w:bCs/>
          <w:color w:val="auto"/>
          <w:sz w:val="24"/>
          <w:highlight w:val="none"/>
        </w:rPr>
        <w:t>4</w:t>
      </w:r>
      <w:r>
        <w:rPr>
          <w:rFonts w:hint="eastAsia" w:ascii="仿宋" w:hAnsi="仿宋" w:eastAsia="仿宋" w:cs="仿宋"/>
          <w:b/>
          <w:bCs/>
          <w:color w:val="auto"/>
          <w:sz w:val="24"/>
          <w:highlight w:val="none"/>
        </w:rPr>
        <w:t>.付款方式：</w:t>
      </w:r>
    </w:p>
    <w:p>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5.1本项目为年度集约化采购，为了保证成本归集原则，具体项目实施时由采购人按项目分别出具委托单给成交供应商，每季度申报一次结算，下季度的第一个月申报上一季度完成服务的工程量清单等结算资料，经采购人确认并按项目分别完成结算。结算完成且收到成交供应商开具合格有效增值税发票后，采购人全额支付上季度的服务费用。（一年服务期满或服务期内2家成交供应商单签合同费用合并累计达</w:t>
      </w:r>
      <w:r>
        <w:rPr>
          <w:rFonts w:ascii="仿宋" w:hAnsi="仿宋" w:eastAsia="仿宋" w:cs="仿宋"/>
          <w:color w:val="auto"/>
          <w:sz w:val="24"/>
          <w:highlight w:val="none"/>
        </w:rPr>
        <w:t>28.8</w:t>
      </w:r>
      <w:r>
        <w:rPr>
          <w:rFonts w:hint="eastAsia" w:ascii="仿宋" w:hAnsi="仿宋" w:eastAsia="仿宋" w:cs="仿宋"/>
          <w:color w:val="auto"/>
          <w:sz w:val="24"/>
          <w:highlight w:val="none"/>
        </w:rPr>
        <w:t>万元，以任一先到为止，该项目自动终止，需另行招标。）</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5.2成交供应商须在开具增值税专用发票之日起15天内将增值税专用发票送达采购人，采购人签收增值税专用发票的日期为增值税专用发票的送达或签收日期。成交供应商开具的增值税专用发票不合格的，应在接到采购人要求后的15天内重新开具合格的增值税专用发票并送达至采购人，成交供应商自行承担相关费用。</w:t>
      </w:r>
    </w:p>
    <w:p>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6.项目预算、限价金额：</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项目预算金额：人民币28.8万元</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项目最高限价：项目最高投标单价限价</w:t>
      </w:r>
      <w:r>
        <w:rPr>
          <w:rFonts w:ascii="仿宋" w:hAnsi="仿宋" w:eastAsia="仿宋" w:cs="仿宋"/>
          <w:color w:val="auto"/>
          <w:sz w:val="24"/>
          <w:highlight w:val="none"/>
        </w:rPr>
        <w:t>4000</w:t>
      </w:r>
      <w:r>
        <w:rPr>
          <w:rFonts w:hint="eastAsia" w:ascii="仿宋" w:hAnsi="仿宋" w:eastAsia="仿宋" w:cs="仿宋"/>
          <w:color w:val="auto"/>
          <w:sz w:val="24"/>
          <w:highlight w:val="none"/>
        </w:rPr>
        <w:t>.00元/项目，超过最高投标单价限价为无效响应。</w:t>
      </w:r>
    </w:p>
    <w:p>
      <w:pPr>
        <w:pStyle w:val="56"/>
        <w:spacing w:line="360" w:lineRule="auto"/>
        <w:ind w:firstLine="0" w:firstLineChars="0"/>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三、技术要求：</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1.服务内容：</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包含整年度各类政府项目前期咨询、未征地供地图斑提取、叠加城规土规分析、涉林情况、三调现状、不动产调取等。提供相关CAD成果，图件、图层成果及书面报告成果等。</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2.服务要求：</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2.1成交供应商在本项目实施过程中负责主体实施，采购人负责协调配合成交供应商完成本项目。</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2.2成交供应商因完成本项目获得的数据、相关部门提供的素材和文本的知识产权均归采购人所有，成交供应商对咨询服务过程中获得的各类数据、信息均负有保密义务，未经采购人事先书面同意不得对外发布或使用，此项保密义务长期有效。</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2.3如出现成交供应商自身管理或沟通不利使员工通过各类渠道或以其他方式对采购人的声誉造成不利影响，以及因成交供应商服务质量或员工素质等原因有损采购人的社会公众形象、口碑等情况，成交供应商必须第一时间负责将不利影响降到最低并及时妥善处理，同时承担由此造成的声誉损失后果。采购人保留从经济、法律或其他形式向成交供应商追究责任的权利。</w:t>
      </w:r>
    </w:p>
    <w:p>
      <w:pPr>
        <w:spacing w:line="440" w:lineRule="exact"/>
        <w:ind w:firstLine="240" w:firstLineChars="100"/>
        <w:contextualSpacing/>
        <w:jc w:val="left"/>
        <w:rPr>
          <w:rFonts w:ascii="仿宋" w:hAnsi="仿宋" w:eastAsia="仿宋" w:cs="仿宋"/>
          <w:b/>
          <w:color w:val="auto"/>
          <w:sz w:val="44"/>
          <w:szCs w:val="21"/>
          <w:highlight w:val="none"/>
        </w:rPr>
      </w:pPr>
      <w:r>
        <w:rPr>
          <w:rFonts w:hint="eastAsia" w:ascii="仿宋" w:hAnsi="仿宋" w:eastAsia="仿宋" w:cs="仿宋"/>
          <w:color w:val="auto"/>
          <w:sz w:val="24"/>
          <w:highlight w:val="none"/>
        </w:rPr>
        <w:t>2.4成交供应商擅自将服务合同分包、转包给第三人的或委托其他单位实施的，以及成交供应商违反法律法规、规章或其他相关规范性文件的规定，影响合同履行的，采购人有权单方面终止本项目合同而无须向成交供应商支付任何费用或承担其他任何责任，由此产生的经济损失和法律责任均由成交供应商承担。</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3.人员要求：</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成交供应商应根据项目具体情况组建相关项目经验丰富的成熟专业团队承担本次项目工作任务。工作成果应符合相关规范要求。如在工作过程中需更换项目负责人,成交供应商须征得采购人同意。</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成交供应商应积极配合采购人的工作安排，根据项目进度计划交付成果（当出现有关交付文档顺延的情况除外），对提交成果的深度、及时性、完整性、正确性等负责。</w:t>
      </w:r>
    </w:p>
    <w:p>
      <w:pPr>
        <w:jc w:val="center"/>
        <w:rPr>
          <w:rFonts w:ascii="仿宋" w:hAnsi="仿宋" w:eastAsia="仿宋" w:cs="仿宋"/>
          <w:b/>
          <w:color w:val="auto"/>
          <w:sz w:val="44"/>
          <w:szCs w:val="21"/>
          <w:highlight w:val="none"/>
        </w:rPr>
      </w:pPr>
    </w:p>
    <w:p>
      <w:pPr>
        <w:jc w:val="left"/>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br w:type="page"/>
      </w:r>
    </w:p>
    <w:p>
      <w:pPr>
        <w:jc w:val="center"/>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第四章  合同主要条款</w:t>
      </w:r>
    </w:p>
    <w:p>
      <w:pPr>
        <w:spacing w:line="360" w:lineRule="auto"/>
        <w:rPr>
          <w:rFonts w:ascii="仿宋" w:hAnsi="仿宋" w:eastAsia="仿宋" w:cs="仿宋"/>
          <w:b/>
          <w:color w:val="auto"/>
          <w:sz w:val="24"/>
          <w:highlight w:val="none"/>
          <w:lang w:val="zh-CN"/>
        </w:rPr>
      </w:pPr>
    </w:p>
    <w:p>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常州市钟楼区住房和城乡建设局关于2024年</w:t>
      </w:r>
    </w:p>
    <w:p>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政府项目前期国土咨询调查服务合同</w:t>
      </w:r>
    </w:p>
    <w:p>
      <w:pPr>
        <w:rPr>
          <w:rFonts w:ascii="宋体" w:hAnsi="宋体" w:cs="宋体"/>
          <w:color w:val="auto"/>
          <w:highlight w:val="none"/>
        </w:rPr>
      </w:pPr>
    </w:p>
    <w:p>
      <w:pPr>
        <w:jc w:val="left"/>
        <w:rPr>
          <w:rFonts w:ascii="宋体" w:hAnsi="宋体" w:cs="宋体"/>
          <w:color w:val="auto"/>
          <w:sz w:val="24"/>
          <w:highlight w:val="none"/>
          <w:u w:val="single"/>
        </w:rPr>
      </w:pPr>
    </w:p>
    <w:p>
      <w:pPr>
        <w:pStyle w:val="22"/>
        <w:rPr>
          <w:rFonts w:ascii="宋体" w:hAnsi="宋体" w:cs="宋体"/>
          <w:color w:val="auto"/>
          <w:highlight w:val="none"/>
          <w:u w:val="single"/>
        </w:rPr>
      </w:pPr>
    </w:p>
    <w:p>
      <w:pPr>
        <w:rPr>
          <w:rFonts w:ascii="宋体" w:hAnsi="宋体" w:cs="宋体"/>
          <w:color w:val="auto"/>
          <w:sz w:val="24"/>
          <w:highlight w:val="none"/>
          <w:u w:val="single"/>
        </w:rPr>
      </w:pPr>
    </w:p>
    <w:p>
      <w:pPr>
        <w:pStyle w:val="22"/>
        <w:spacing w:line="480" w:lineRule="auto"/>
        <w:ind w:firstLine="0" w:firstLineChars="0"/>
        <w:rPr>
          <w:rFonts w:ascii="宋体" w:hAnsi="宋体" w:cs="宋体"/>
          <w:color w:val="auto"/>
          <w:sz w:val="30"/>
          <w:szCs w:val="30"/>
          <w:highlight w:val="none"/>
        </w:rPr>
      </w:pPr>
    </w:p>
    <w:p>
      <w:pPr>
        <w:pStyle w:val="22"/>
        <w:spacing w:line="480" w:lineRule="auto"/>
        <w:ind w:firstLine="0" w:firstLineChars="0"/>
        <w:rPr>
          <w:rFonts w:ascii="宋体" w:hAnsi="宋体" w:cs="宋体"/>
          <w:color w:val="auto"/>
          <w:sz w:val="30"/>
          <w:szCs w:val="30"/>
          <w:highlight w:val="none"/>
        </w:rPr>
      </w:pPr>
    </w:p>
    <w:p>
      <w:pPr>
        <w:pStyle w:val="22"/>
        <w:spacing w:line="480" w:lineRule="auto"/>
        <w:ind w:firstLine="0" w:firstLineChars="0"/>
        <w:rPr>
          <w:rFonts w:ascii="仿宋" w:hAnsi="仿宋" w:eastAsia="仿宋" w:cs="仿宋"/>
          <w:color w:val="auto"/>
          <w:sz w:val="30"/>
          <w:szCs w:val="30"/>
          <w:highlight w:val="none"/>
        </w:rPr>
      </w:pPr>
    </w:p>
    <w:p>
      <w:pPr>
        <w:pStyle w:val="22"/>
        <w:spacing w:line="360" w:lineRule="auto"/>
        <w:ind w:firstLine="0" w:firstLineChars="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项目名称：</w:t>
      </w:r>
      <w:r>
        <w:rPr>
          <w:rFonts w:hint="eastAsia" w:ascii="仿宋" w:hAnsi="仿宋" w:eastAsia="仿宋" w:cs="仿宋"/>
          <w:color w:val="auto"/>
          <w:sz w:val="30"/>
          <w:szCs w:val="30"/>
          <w:highlight w:val="none"/>
          <w:u w:val="single"/>
        </w:rPr>
        <w:t>常州市钟楼区住房和城乡建设局关于2024年政府项目前期国土咨询调查服务项目</w:t>
      </w:r>
    </w:p>
    <w:p>
      <w:pPr>
        <w:spacing w:line="360" w:lineRule="auto"/>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none"/>
        </w:rPr>
        <w:t>标包：</w:t>
      </w:r>
      <w:r>
        <w:rPr>
          <w:rFonts w:hint="eastAsia" w:ascii="仿宋" w:hAnsi="仿宋" w:eastAsia="仿宋" w:cs="仿宋"/>
          <w:color w:val="auto"/>
          <w:sz w:val="30"/>
          <w:szCs w:val="30"/>
          <w:highlight w:val="none"/>
          <w:u w:val="single"/>
        </w:rPr>
        <w:t xml:space="preserve">                   </w:t>
      </w:r>
    </w:p>
    <w:p>
      <w:pPr>
        <w:spacing w:line="360" w:lineRule="auto"/>
        <w:jc w:val="left"/>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 xml:space="preserve">委托方(以下简称甲方): </w:t>
      </w:r>
      <w:r>
        <w:rPr>
          <w:rFonts w:hint="eastAsia" w:ascii="仿宋" w:hAnsi="仿宋" w:eastAsia="仿宋" w:cs="仿宋"/>
          <w:color w:val="auto"/>
          <w:sz w:val="30"/>
          <w:szCs w:val="30"/>
          <w:highlight w:val="none"/>
          <w:u w:val="single"/>
        </w:rPr>
        <w:t>常州市钟楼区住房和城乡建设局</w:t>
      </w:r>
    </w:p>
    <w:p>
      <w:pPr>
        <w:spacing w:line="360" w:lineRule="auto"/>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 xml:space="preserve">受托方(以下简称乙方): </w:t>
      </w:r>
      <w:r>
        <w:rPr>
          <w:rFonts w:hint="eastAsia" w:ascii="仿宋" w:hAnsi="仿宋" w:eastAsia="仿宋" w:cs="仿宋"/>
          <w:color w:val="auto"/>
          <w:sz w:val="30"/>
          <w:szCs w:val="30"/>
          <w:highlight w:val="none"/>
          <w:u w:val="single"/>
        </w:rPr>
        <w:t xml:space="preserve">                        </w:t>
      </w:r>
    </w:p>
    <w:p>
      <w:pPr>
        <w:snapToGrid w:val="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r>
        <w:rPr>
          <w:rFonts w:hint="eastAsia" w:ascii="仿宋" w:hAnsi="仿宋" w:eastAsia="仿宋" w:cs="仿宋"/>
          <w:color w:val="auto"/>
          <w:sz w:val="30"/>
          <w:szCs w:val="30"/>
          <w:highlight w:val="none"/>
          <w:u w:val="single"/>
        </w:rPr>
        <w:t>2024年5月 日</w:t>
      </w:r>
    </w:p>
    <w:p>
      <w:pPr>
        <w:snapToGrid w:val="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w:t>
      </w:r>
      <w:r>
        <w:rPr>
          <w:rFonts w:hint="eastAsia" w:ascii="仿宋" w:hAnsi="仿宋" w:eastAsia="仿宋" w:cs="仿宋"/>
          <w:color w:val="auto"/>
          <w:sz w:val="30"/>
          <w:szCs w:val="30"/>
          <w:highlight w:val="none"/>
          <w:u w:val="single"/>
        </w:rPr>
        <w:t>常州钟楼区</w:t>
      </w:r>
    </w:p>
    <w:p>
      <w:pPr>
        <w:rPr>
          <w:rFonts w:ascii="仿宋" w:hAnsi="仿宋" w:eastAsia="仿宋" w:cs="仿宋"/>
          <w:color w:val="auto"/>
          <w:sz w:val="24"/>
          <w:highlight w:val="none"/>
        </w:rPr>
      </w:pPr>
    </w:p>
    <w:p>
      <w:pPr>
        <w:spacing w:line="360" w:lineRule="auto"/>
        <w:ind w:firstLine="484" w:firstLineChars="202"/>
        <w:rPr>
          <w:rFonts w:ascii="仿宋" w:hAnsi="仿宋" w:eastAsia="仿宋" w:cs="仿宋"/>
          <w:color w:val="auto"/>
          <w:szCs w:val="28"/>
          <w:highlight w:val="none"/>
        </w:rPr>
      </w:pPr>
      <w:r>
        <w:rPr>
          <w:rFonts w:hint="eastAsia" w:ascii="仿宋" w:hAnsi="仿宋" w:eastAsia="仿宋" w:cs="仿宋"/>
          <w:color w:val="auto"/>
          <w:sz w:val="24"/>
          <w:highlight w:val="none"/>
        </w:rPr>
        <w:br w:type="page"/>
      </w:r>
    </w:p>
    <w:p>
      <w:pPr>
        <w:pStyle w:val="12"/>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委托方(以下简称甲方):</w:t>
      </w:r>
      <w:r>
        <w:rPr>
          <w:rFonts w:hint="eastAsia" w:ascii="仿宋" w:hAnsi="仿宋" w:eastAsia="仿宋" w:cs="仿宋"/>
          <w:color w:val="auto"/>
          <w:sz w:val="24"/>
          <w:szCs w:val="24"/>
          <w:highlight w:val="none"/>
          <w:u w:val="single"/>
        </w:rPr>
        <w:t>常州市钟楼区住房和城乡建设局</w:t>
      </w:r>
    </w:p>
    <w:p>
      <w:pPr>
        <w:pStyle w:val="12"/>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受托方(以下简称乙方):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7"/>
        <w:snapToGrid w:val="0"/>
        <w:spacing w:line="440" w:lineRule="exact"/>
        <w:ind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甲乙双方依据《中华人民共和国民法典》以及有关法律、法规的规定，经协商一致，订立本合同，以便共同遵守。</w:t>
      </w:r>
    </w:p>
    <w:p>
      <w:pPr>
        <w:pStyle w:val="12"/>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第一条 合同标的</w:t>
      </w:r>
    </w:p>
    <w:p>
      <w:pPr>
        <w:pStyle w:val="7"/>
        <w:snapToGrid w:val="0"/>
        <w:spacing w:line="440" w:lineRule="exact"/>
        <w:ind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乙方根据甲方需求提供下列服务：包含整年度各类政府项目前期咨询、未征地供地图斑提取、叠加城规土规分析、涉林情况、三调现状、不动产调取等。提供相关CAD成果，图件、图层成果及书面报告成果等。</w:t>
      </w:r>
    </w:p>
    <w:p>
      <w:pPr>
        <w:pStyle w:val="12"/>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第二条 合同价格</w:t>
      </w:r>
    </w:p>
    <w:p>
      <w:pPr>
        <w:pStyle w:val="7"/>
        <w:snapToGrid w:val="0"/>
        <w:spacing w:line="440" w:lineRule="exact"/>
        <w:ind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合同价款：合同暂定含税总价</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万元/年。合同采用固定全费用单价，按实结算。服务费用为大写：</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/项目 （小写：</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/项目）；其中含增值税税率</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注：本次招标为年度集约化招标，实际工作量与目前暂估量会有差异，乙方报价时综合考虑，后期不接受任何理由的价格调增。一年服务期满或服务期内2家成交供应商单签合同费用合并累计达28.8万元，以任一先到为止，该项目自动终止，需另行招标。合同履行初期甲方将按照平均分配原则进行项目委托，若后期甲方认为2家成交供应商配合等不好的，甲方有权对工作分配进行调整，甚至经甲方多次要求整改未果的，甲方有权提前解除合同，乙方不得有异议。）</w:t>
      </w:r>
    </w:p>
    <w:p>
      <w:pPr>
        <w:pStyle w:val="12"/>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报价包括采购文件所确定的采购范围相应的服务咨询费用，包括但不限于提供技术服务费、咨询服务人员相关费用（服务费、交通费、通讯费、补贴和福利等）、办公场所及设施、设备、保险、劳保、以及可能涉及的相关查询调研费、管理、利润、规费、税金、政策性文件规定及合同包含的所有风险、责任等各项应有费用，以及为完成该项服务项目所涉及到的一切相关费用。</w:t>
      </w:r>
    </w:p>
    <w:p>
      <w:pPr>
        <w:pStyle w:val="12"/>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本合同价格还包含乙方应当提供的伴随服务/售后服务费用。</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第三条 服务期限、服务内容及服务要求</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1、服务期限：一年，自2024年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日起至2025年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2、服务内容：包含整年度各类政府项目前期咨询、未征地供地图斑提取、叠加城规土规分析、涉林情况、三调现状、不动产调取等。提供相关CAD成果，图件、图层成果及书面报告成果等。</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3、服务要求：</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3.1乙方在本项目实施过程中负责主体实施，甲方负责协调配合乙方完成本项目。</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乙方因完成本项目获得的数据、相关部门提供的素材和文本的知识产权均归甲方所有，乙方对咨询服务过程中获得的各类数据、信息均负有保密义务，未经甲方事先书面同意不得对外发布或使用，此项保密义务长期有效。</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如出现乙方自身管理或沟通不利使员工通过各类渠道或以其他方式对甲方的声誉造成不利影响，以及因乙方服务质量或员工素质等原因有损甲方的社会公众形象、口碑等情况，乙方必须第一时间负责将不利影响降到最低并及时妥善处理，同时承担由此造成的声誉损失后果。甲方保留从经济、法律或其他形式向乙方追究责任的权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乙方擅自将服务合同分包、转包给第三人的或委托其他单位实施的，以及乙方违反法律法规、规章或其他相关规范性文件的规定，影响合同履行的，甲方有权单方面终止本项目合同而无须向乙方支付任何费用或承担其他任何责任，由此产生的经济损失和法律责任均由乙方承担。</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第四条 合同款结算及支付</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为年度集约化采购，为了保证成本归集原则，具体项目实施时由甲方按项目分别出具委托单给乙方，每季度申报一次结算，下季度的第一个月申报上一季度完成服务的工程量清单等结算资料，经甲方确认并按项目分别完成结算。结算完成且收到乙方开具合格有效增值税专用发票后，甲方全额支付上季度的服务费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2、乙方按节点完成收取合同价款时，向甲方开具增值税专用发票，增值税税率为  %，甲方凭潜在乙方提供的增值税专用发票支付相应合同价款，如潜在乙方未按约定提供合法、有效、完整、准确的增值税专用发票，甲方有权迟延支付应付款项直至对方开具合格增值税发票，甲方不承担任何违约责任，乙方的各项合同义务仍应按合同约定履行。（一年服务期满或服务期内2家成交供应商单签合同费用合并累计达28.8万元，以任一先到为止，该项目自动终止，需另行招标。）</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须在开具增值税专用发票之日起15天内将增值税专用发票送达甲方，甲方签收增值税专用发票的日期为增值税专用发票的送达或签收日期。乙方开具的增值税专用发票不合格的，应在接到甲方要求后的15天内重新开具合格的增值税专用发票并送达甲方，乙方自行承担相关费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乙方如果不能提供合法、有效、完整、准确的增值税专用发票，甲方有权拒绝支付合同价款。</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编制的结算应实事求是，不得高估冒算，如结算经甲方、审计单位审定后，审计核减5%以内（含5%）的审计费由甲方承担；审计核减超过5%，其超过部分的审计费由乙方承担，同时对于核减额超15%，乙方应按照核减额超15%为基数的5%作为罚款，核增部分的审计费均由乙方承担。上述由乙方承担的审计费均由乙方直接支付给审计单位，同时审计单位出具的发票复印件加盖审计单位公章报甲方备案，超额审计罚款由甲方在服务款支付时直接扣减。</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第五条  合同文件的组成</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下列关于磋商文件、乙方响应文件，或与本次采购活动方式相适应的文件，以及有关附件是本合同不可分割的组成部分，与本合同具有同等法律效力，这些文件包括但不限于：</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（1）磋商文件；</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（2）乙方提供的响应文件和报价表；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（3）乙方投标的其他资料及承诺；</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（4）中标通知书；</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（5）甲乙双方商定的其他文件等。</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第六条 违约责任</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1.如乙方不能按约定进行服务的，甲方有权解除合同，同时有权要求乙方按照合同总价5%的标准支付违约金，解除合同的通知自发出之日生效。</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2.乙方未按本合同的规定提供伴随服务的，甲方有权提前解除本合同，同时乙方应按合同总价款的5%向甲方承担违约责任。</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3.乙方在承担上述一项或多项违约责任后，仍应继续履行合同规定的义务（甲方解除合同的除外）。甲方未能及时追究乙方的任何一项违约责任并不表明甲方放弃追究乙方该项或其他违约责任。</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4.乙方投标时若存在虚假承诺，或是由于乙方的过错造成合同无法继续履行的，应向甲方支付不少于合同总价30%违约金，若该违约金不足以弥补甲方损失，则应当赔偿甲方所有损失。</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5.其他未尽事宜，以《中华人民共和国民法典》等有关法律法规规定为准，无相关规定的，双方协商解决。</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6.守约方主张债权产生的费用（包括但不限于诉讼费/仲裁费、律师费、保全费、保全担保费、执行费等）全部由违约方承担。</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合同签订后、尚未履行前，若甲方发现乙方同时存在3起及以上作为被执行人的案件，或者乙方被列入限制高消费名单，或者乙方作为被执行人的单个案件金额超过本项目预算金额的10%，均视为乙方不具备继续履行本合同义务的能力，甲方有权单方解除本合同。若本合同已履行后发现乙方存在上述任何一种情形，甲方有权要求乙方缴纳不低于合同金额30%的履约保证金，若乙方在合理期限内不能化解债务，则甲方有权单方面解除本合同，对于乙方已经服务部分，由甲方委托第三方机构进行审计，审计费用由乙方承担，从甲方应付乙方服务款中扣除。若不存在应付服务款，则由乙方直接支付审计费用给第三方；若乙方不予配合，则视为对之前服务的工作量予以放弃。</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第七条 合同的变更和终止</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1.本合同一经签订，甲乙双方不得擅自变更、中止或终止合同。</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2.除发生法律规定的不能预见、不能避免并不能克服的客观情况外，甲乙双方不得放弃或拒绝履行合同。乙方放弃或拒绝履行合同，保证金不予退还。</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第八条 合同的转让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乙方不得擅自部分或全部转让其应履行的合同义务。</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第九条 不可抗力</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方中任何一方，因不可抗力不能按时或完全履行合同的，应及时通知对方，并在10个工作日内提供相应证明。未履行完合同部分是否继续履行、如何履行等问题，可由双方初步协商，并向主管部门报告。确定为不可抗力原因造成的损失，免予承担责任。</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第十条 争议的解决</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1.因履行本合同引起的或与本合同有关的争议，甲、乙双方应首先通过友好协商解决，如果协商不能解决争议，则采取以下第（2）种方式解决争议：</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（1）向甲方所在地人民法院提起诉讼；</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（2）向常州仲裁委员会按其仲裁规则申请仲裁。</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如没有约定，默认采取第2种方式解决争议。</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2.在法院审理和仲裁期间，除有争议部分外，本合同其他部分应继续履行。</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第十一条 诚实信用 </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乙方应诚实信用，严格按照采购文件要求和合同，不向甲方进行商业贿赂或者提供不正当利益。</w:t>
      </w:r>
    </w:p>
    <w:p>
      <w:pPr>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第十二条 合同生效及其他</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1.本合同自经甲乙双方授权代表签订并加盖公章后，自签订之日起生效。</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2.本合同一式陆份，甲方执肆份，乙方执贰份。</w:t>
      </w:r>
    </w:p>
    <w:p>
      <w:pPr>
        <w:snapToGrid w:val="0"/>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3.本合同应按照中华人民共和国的现行法律进行解释。</w:t>
      </w:r>
    </w:p>
    <w:p>
      <w:pPr>
        <w:spacing w:line="4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甲    方</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乙    方</w:t>
      </w:r>
      <w:r>
        <w:rPr>
          <w:rFonts w:hint="eastAsia" w:ascii="仿宋" w:hAnsi="仿宋" w:eastAsia="仿宋" w:cs="仿宋"/>
          <w:color w:val="auto"/>
          <w:sz w:val="24"/>
          <w:szCs w:val="24"/>
          <w:highlight w:val="none"/>
        </w:rPr>
        <w:t>：</w:t>
      </w:r>
    </w:p>
    <w:p>
      <w:pPr>
        <w:pStyle w:val="7"/>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单位名称（章）：                        单位名称（章）：</w:t>
      </w:r>
    </w:p>
    <w:p>
      <w:pPr>
        <w:pStyle w:val="7"/>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                              单位地址：</w:t>
      </w:r>
    </w:p>
    <w:p>
      <w:pPr>
        <w:pStyle w:val="7"/>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pStyle w:val="7"/>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委托代理人：                            </w:t>
      </w:r>
    </w:p>
    <w:p>
      <w:pPr>
        <w:pStyle w:val="7"/>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电话：            </w:t>
      </w:r>
    </w:p>
    <w:p>
      <w:pPr>
        <w:pStyle w:val="7"/>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                                  传真：</w:t>
      </w:r>
    </w:p>
    <w:p>
      <w:pPr>
        <w:pStyle w:val="7"/>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pPr>
        <w:pStyle w:val="22"/>
        <w:spacing w:line="440" w:lineRule="exact"/>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账号：                                  账号：</w:t>
      </w:r>
    </w:p>
    <w:p>
      <w:pPr>
        <w:spacing w:line="480" w:lineRule="auto"/>
        <w:outlineLvl w:val="0"/>
        <w:rPr>
          <w:rFonts w:hint="eastAsia" w:ascii="仿宋" w:hAnsi="仿宋" w:eastAsia="仿宋" w:cs="仿宋"/>
          <w:b/>
          <w:bCs/>
          <w:color w:val="auto"/>
          <w:sz w:val="24"/>
          <w:szCs w:val="24"/>
          <w:highlight w:val="none"/>
        </w:rPr>
      </w:pPr>
    </w:p>
    <w:p>
      <w:pPr>
        <w:rPr>
          <w:rFonts w:hint="eastAsia" w:ascii="仿宋" w:hAnsi="仿宋" w:eastAsia="仿宋" w:cs="仿宋"/>
          <w:color w:val="auto"/>
          <w:sz w:val="24"/>
          <w:szCs w:val="24"/>
          <w:highlight w:val="none"/>
        </w:rPr>
      </w:pPr>
    </w:p>
    <w:p>
      <w:pPr>
        <w:jc w:val="left"/>
        <w:rPr>
          <w:rFonts w:hint="eastAsia" w:ascii="仿宋" w:hAnsi="仿宋" w:eastAsia="仿宋" w:cs="仿宋"/>
          <w:b/>
          <w:color w:val="auto"/>
          <w:sz w:val="24"/>
          <w:szCs w:val="24"/>
          <w:highlight w:val="none"/>
        </w:rPr>
      </w:pPr>
      <w:bookmarkStart w:id="90" w:name="_Toc401414769"/>
      <w:bookmarkStart w:id="91" w:name="_Toc463253086"/>
      <w:r>
        <w:rPr>
          <w:rFonts w:hint="eastAsia" w:ascii="仿宋" w:hAnsi="仿宋" w:eastAsia="仿宋" w:cs="仿宋"/>
          <w:b/>
          <w:color w:val="auto"/>
          <w:sz w:val="24"/>
          <w:szCs w:val="24"/>
          <w:highlight w:val="none"/>
        </w:rPr>
        <w:br w:type="page"/>
      </w:r>
    </w:p>
    <w:p>
      <w:pPr>
        <w:spacing w:line="480" w:lineRule="auto"/>
        <w:jc w:val="center"/>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第五章  评标方法与评标标准</w:t>
      </w:r>
    </w:p>
    <w:p>
      <w:pPr>
        <w:keepNext/>
        <w:keepLines/>
        <w:tabs>
          <w:tab w:val="left" w:pos="576"/>
        </w:tabs>
        <w:adjustRightInd w:val="0"/>
        <w:spacing w:before="260" w:after="260" w:line="360" w:lineRule="auto"/>
        <w:textAlignment w:val="baseline"/>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一、评标方法与定标原则</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本项目评审采用综合评分法，磋商小组在响应文件最大限度地满足磋商文件中实质性要求前提下，按照磋商文件中规定的磋商小组评分部分各项因素，独立对每个有效供应商的响应文件进行评审，各供应商最终得分为磋商小组所评定分值的平均值,磋商小组成员评分及平均值计算均保留两位小数。</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磋商小组按评审后最终综合得分由高到低顺序排列名次，并推荐出中标人。如得分相同的，按最终报价由低到高顺序推荐中标人。</w:t>
      </w:r>
      <w:r>
        <w:rPr>
          <w:rFonts w:hint="eastAsia" w:ascii="仿宋" w:hAnsi="仿宋" w:eastAsia="仿宋" w:cs="仿宋"/>
          <w:color w:val="auto"/>
          <w:spacing w:val="2"/>
          <w:sz w:val="24"/>
          <w:highlight w:val="none"/>
        </w:rPr>
        <w:t>得分且最终报价相同的，以客观分得分高的为第一中标候选人，上述均相同的按现场抽签确定第一成交候选人。</w:t>
      </w:r>
    </w:p>
    <w:p>
      <w:pPr>
        <w:tabs>
          <w:tab w:val="left" w:pos="900"/>
        </w:tabs>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项目分为2个标包，供应商可以响应一个标包或两个标包；1家供应商仅能成交1个标包（评委根据标包号次序依次评审）。如经评审，两个标包排名第一的为同一供应商时，由该供应商按标包号次序成交，剩余未选择的标包由相应标包排名次之的供应商成交。</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keepLines/>
        <w:numPr>
          <w:ilvl w:val="255"/>
          <w:numId w:val="0"/>
        </w:numPr>
        <w:tabs>
          <w:tab w:val="left" w:pos="576"/>
        </w:tabs>
        <w:adjustRightInd w:val="0"/>
        <w:spacing w:before="260" w:after="260" w:line="360" w:lineRule="auto"/>
        <w:textAlignment w:val="baseline"/>
        <w:outlineLvl w:val="0"/>
        <w:rPr>
          <w:rFonts w:ascii="仿宋" w:hAnsi="仿宋" w:eastAsia="仿宋" w:cs="仿宋"/>
          <w:b/>
          <w:bCs/>
          <w:color w:val="auto"/>
          <w:szCs w:val="21"/>
          <w:highlight w:val="none"/>
        </w:rPr>
      </w:pPr>
      <w:bookmarkStart w:id="92" w:name="_Hlk88434057"/>
      <w:r>
        <w:rPr>
          <w:rFonts w:hint="eastAsia" w:ascii="仿宋" w:hAnsi="仿宋" w:eastAsia="仿宋" w:cs="仿宋"/>
          <w:b/>
          <w:bCs/>
          <w:color w:val="auto"/>
          <w:sz w:val="32"/>
          <w:szCs w:val="32"/>
          <w:highlight w:val="none"/>
        </w:rPr>
        <w:t>二、评标标准</w:t>
      </w:r>
      <w:r>
        <w:rPr>
          <w:rFonts w:hint="eastAsia" w:ascii="仿宋" w:hAnsi="仿宋" w:eastAsia="仿宋" w:cs="仿宋"/>
          <w:b/>
          <w:bCs/>
          <w:color w:val="auto"/>
          <w:sz w:val="24"/>
          <w:highlight w:val="none"/>
        </w:rPr>
        <w:t>（适用于标包1、标包2）</w:t>
      </w:r>
    </w:p>
    <w:tbl>
      <w:tblPr>
        <w:tblStyle w:val="23"/>
        <w:tblW w:w="10058"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33"/>
        <w:gridCol w:w="779"/>
        <w:gridCol w:w="4851"/>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44" w:type="dxa"/>
            <w:vAlign w:val="center"/>
          </w:tcPr>
          <w:p>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533" w:type="dxa"/>
            <w:vAlign w:val="center"/>
          </w:tcPr>
          <w:p>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w:t>
            </w:r>
          </w:p>
        </w:tc>
        <w:tc>
          <w:tcPr>
            <w:tcW w:w="779" w:type="dxa"/>
            <w:vAlign w:val="center"/>
          </w:tcPr>
          <w:p>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4851" w:type="dxa"/>
            <w:vAlign w:val="center"/>
          </w:tcPr>
          <w:p>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2151" w:type="dxa"/>
            <w:vAlign w:val="center"/>
          </w:tcPr>
          <w:p>
            <w:pPr>
              <w:pStyle w:val="7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744" w:type="dxa"/>
            <w:vAlign w:val="center"/>
          </w:tcPr>
          <w:p>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533" w:type="dxa"/>
            <w:vAlign w:val="center"/>
          </w:tcPr>
          <w:p>
            <w:pPr>
              <w:ind w:firstLine="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价格分</w:t>
            </w:r>
          </w:p>
        </w:tc>
        <w:tc>
          <w:tcPr>
            <w:tcW w:w="779" w:type="dxa"/>
            <w:vAlign w:val="center"/>
          </w:tcPr>
          <w:p>
            <w:pPr>
              <w:ind w:firstLine="28"/>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4851" w:type="dxa"/>
            <w:vAlign w:val="center"/>
          </w:tcPr>
          <w:p>
            <w:pPr>
              <w:widowControl/>
              <w:snapToGrid w:val="0"/>
              <w:spacing w:line="32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满足磋商文件要求且最后报价最低的为磋商基准价，其价格分为满分。其他供应商的价格分统一按照下列公式计算（计算结果四舍五入保留两位小数）：</w:t>
            </w:r>
          </w:p>
          <w:p>
            <w:pPr>
              <w:widowControl/>
              <w:spacing w:line="2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磋商报价得分=（磋商基准</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val="zh-CN"/>
              </w:rPr>
              <w:t>/最</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val="zh-CN"/>
              </w:rPr>
              <w:t>磋商报价）</w:t>
            </w:r>
            <w:r>
              <w:rPr>
                <w:rFonts w:hint="eastAsia" w:ascii="仿宋" w:hAnsi="仿宋" w:eastAsia="仿宋" w:cs="仿宋"/>
                <w:color w:val="auto"/>
                <w:sz w:val="24"/>
                <w:szCs w:val="24"/>
                <w:highlight w:val="none"/>
              </w:rPr>
              <w:t>×20%×100。</w:t>
            </w:r>
          </w:p>
        </w:tc>
        <w:tc>
          <w:tcPr>
            <w:tcW w:w="2151" w:type="dxa"/>
            <w:vAlign w:val="center"/>
          </w:tcPr>
          <w:p>
            <w:pPr>
              <w:widowControl/>
              <w:snapToGrid w:val="0"/>
              <w:spacing w:line="320" w:lineRule="exact"/>
              <w:jc w:val="left"/>
              <w:textAlignment w:val="baseline"/>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44" w:type="dxa"/>
            <w:vAlign w:val="center"/>
          </w:tcPr>
          <w:p>
            <w:pPr>
              <w:spacing w:line="380" w:lineRule="exact"/>
              <w:ind w:firstLine="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1533" w:type="dxa"/>
            <w:vAlign w:val="center"/>
          </w:tcPr>
          <w:p>
            <w:pPr>
              <w:spacing w:line="380" w:lineRule="exact"/>
              <w:ind w:firstLine="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技术分</w:t>
            </w:r>
          </w:p>
        </w:tc>
        <w:tc>
          <w:tcPr>
            <w:tcW w:w="779" w:type="dxa"/>
            <w:vAlign w:val="center"/>
          </w:tcPr>
          <w:p>
            <w:pPr>
              <w:spacing w:line="38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30</w:t>
            </w:r>
          </w:p>
        </w:tc>
        <w:tc>
          <w:tcPr>
            <w:tcW w:w="4851" w:type="dxa"/>
            <w:vAlign w:val="center"/>
          </w:tcPr>
          <w:p>
            <w:pPr>
              <w:spacing w:line="380" w:lineRule="exact"/>
              <w:rPr>
                <w:rFonts w:hint="eastAsia" w:ascii="仿宋" w:hAnsi="仿宋" w:eastAsia="仿宋" w:cs="仿宋"/>
                <w:color w:val="auto"/>
                <w:sz w:val="24"/>
                <w:szCs w:val="24"/>
                <w:highlight w:val="none"/>
                <w:lang w:val="zh-CN"/>
              </w:rPr>
            </w:pPr>
          </w:p>
        </w:tc>
        <w:tc>
          <w:tcPr>
            <w:tcW w:w="2151" w:type="dxa"/>
            <w:vAlign w:val="center"/>
          </w:tcPr>
          <w:p>
            <w:pPr>
              <w:spacing w:line="380" w:lineRule="exact"/>
              <w:ind w:left="-38"/>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44" w:type="dxa"/>
            <w:vAlign w:val="center"/>
          </w:tcPr>
          <w:p>
            <w:pPr>
              <w:spacing w:line="38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533"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项目组织和实施方案</w:t>
            </w:r>
          </w:p>
        </w:tc>
        <w:tc>
          <w:tcPr>
            <w:tcW w:w="77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851" w:type="dxa"/>
            <w:vAlign w:val="center"/>
          </w:tcPr>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磋商小组根据磋商文件要求及响应文件的相关内容对项目实施技术方案的科学性、符合实际、可操作性、措施合理等方面进行打分：</w:t>
            </w:r>
          </w:p>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分析全面、清晰、科学合理、优于项目需求的，得6分；分析基本全面合理，满足需求的，得4分；分析一般，细节待完善的，得2分。未提供的不得分。</w:t>
            </w:r>
          </w:p>
        </w:tc>
        <w:tc>
          <w:tcPr>
            <w:tcW w:w="2151" w:type="dxa"/>
            <w:vAlign w:val="center"/>
          </w:tcPr>
          <w:p>
            <w:pPr>
              <w:spacing w:line="380" w:lineRule="exact"/>
              <w:ind w:left="-38"/>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744" w:type="dxa"/>
            <w:vAlign w:val="center"/>
          </w:tcPr>
          <w:p>
            <w:pPr>
              <w:spacing w:line="38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533"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项目管理</w:t>
            </w:r>
          </w:p>
        </w:tc>
        <w:tc>
          <w:tcPr>
            <w:tcW w:w="77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851" w:type="dxa"/>
            <w:vAlign w:val="center"/>
          </w:tcPr>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磋商小组根据磋商文件要求及响应文件的相关内容对单位组织机构设置是否全备、各项制度是否健全、责任分工是否明确、是否成立调查项目组织等情况进行对比打分： </w:t>
            </w:r>
          </w:p>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分析全面、清晰、科学合理、优于项目需求的，得4分；分析基本全面合理，满足需求的，得2分；分析一般，细节待完善的，得1分。未提供的不得分。</w:t>
            </w:r>
          </w:p>
        </w:tc>
        <w:tc>
          <w:tcPr>
            <w:tcW w:w="2151" w:type="dxa"/>
            <w:vAlign w:val="center"/>
          </w:tcPr>
          <w:p>
            <w:pPr>
              <w:spacing w:line="380" w:lineRule="exact"/>
              <w:ind w:left="-38"/>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44" w:type="dxa"/>
            <w:vAlign w:val="center"/>
          </w:tcPr>
          <w:p>
            <w:pPr>
              <w:spacing w:line="38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533"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措施</w:t>
            </w:r>
          </w:p>
        </w:tc>
        <w:tc>
          <w:tcPr>
            <w:tcW w:w="77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4851" w:type="dxa"/>
            <w:vAlign w:val="center"/>
          </w:tcPr>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磋商小组根据磋商文件要求及响应文件的相关内容对质量保证措施合理性、科学性，完备性，对本项目的重点、难点分析及应对合理性进行对比打分（</w:t>
            </w:r>
            <w:r>
              <w:rPr>
                <w:rFonts w:hint="eastAsia" w:ascii="仿宋" w:hAnsi="仿宋" w:eastAsia="仿宋" w:cs="仿宋"/>
                <w:color w:val="auto"/>
                <w:kern w:val="0"/>
                <w:sz w:val="24"/>
                <w:szCs w:val="24"/>
                <w:highlight w:val="none"/>
              </w:rPr>
              <w:t>包含项目前期咨询、未征地供地图斑提取、叠加城规土规分析、涉林情况、三调现状、不动产调取等</w:t>
            </w:r>
            <w:r>
              <w:rPr>
                <w:rFonts w:hint="eastAsia" w:ascii="仿宋" w:hAnsi="仿宋" w:eastAsia="仿宋" w:cs="仿宋"/>
                <w:color w:val="auto"/>
                <w:sz w:val="24"/>
                <w:szCs w:val="24"/>
                <w:highlight w:val="none"/>
              </w:rPr>
              <w:t>）：</w:t>
            </w:r>
          </w:p>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质量保证措施科学合理且可操作性强的，得7分；质量保证措施较科学，有一定程度的可操作性，得5分；质量保证措施针对性不强的，得3分；未提供的不得分。 </w:t>
            </w:r>
          </w:p>
        </w:tc>
        <w:tc>
          <w:tcPr>
            <w:tcW w:w="2151" w:type="dxa"/>
            <w:vAlign w:val="center"/>
          </w:tcPr>
          <w:p>
            <w:pPr>
              <w:widowControl/>
              <w:spacing w:line="38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744" w:type="dxa"/>
            <w:vAlign w:val="center"/>
          </w:tcPr>
          <w:p>
            <w:pPr>
              <w:spacing w:line="38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1533"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进度保证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措施</w:t>
            </w:r>
          </w:p>
        </w:tc>
        <w:tc>
          <w:tcPr>
            <w:tcW w:w="77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4851" w:type="dxa"/>
            <w:vAlign w:val="center"/>
          </w:tcPr>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磋商小组根据磋商文件要求及响应文件的相关内容对进度保证措施合理性、科学性，完备性，对本项目的重点、难点分析及应对合理性进行对比打分（</w:t>
            </w:r>
            <w:r>
              <w:rPr>
                <w:rFonts w:hint="eastAsia" w:ascii="仿宋" w:hAnsi="仿宋" w:eastAsia="仿宋" w:cs="仿宋"/>
                <w:color w:val="auto"/>
                <w:kern w:val="0"/>
                <w:sz w:val="24"/>
                <w:szCs w:val="24"/>
                <w:highlight w:val="none"/>
              </w:rPr>
              <w:t>包含项目前期咨询、未征地供地图斑提取、叠加城规土规分析、涉林情况、三调现状、不动产调取、提供相关CAD成果、图件、图层成果及书面报告成果等</w:t>
            </w:r>
            <w:r>
              <w:rPr>
                <w:rFonts w:hint="eastAsia" w:ascii="仿宋" w:hAnsi="仿宋" w:eastAsia="仿宋" w:cs="仿宋"/>
                <w:color w:val="auto"/>
                <w:sz w:val="24"/>
                <w:szCs w:val="24"/>
                <w:highlight w:val="none"/>
              </w:rPr>
              <w:t>）：</w:t>
            </w:r>
          </w:p>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进度保证措施科学合理且可操作性强的，得7分；进度保证措施较科学，有一定程度的可操作性，得5分；进度保证措施针对性不强的，得3分；未提供的不得分。 </w:t>
            </w:r>
          </w:p>
        </w:tc>
        <w:tc>
          <w:tcPr>
            <w:tcW w:w="2151" w:type="dxa"/>
            <w:vAlign w:val="center"/>
          </w:tcPr>
          <w:p>
            <w:pPr>
              <w:widowControl/>
              <w:spacing w:line="380" w:lineRule="exact"/>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744" w:type="dxa"/>
            <w:vAlign w:val="center"/>
          </w:tcPr>
          <w:p>
            <w:pPr>
              <w:spacing w:line="38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1533"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服务承诺</w:t>
            </w:r>
          </w:p>
        </w:tc>
        <w:tc>
          <w:tcPr>
            <w:tcW w:w="77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851" w:type="dxa"/>
            <w:vAlign w:val="center"/>
          </w:tcPr>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供应商承诺项目实施过程和项目完成后继续为采购人提供技术咨询服务、有良好的后续服务反馈机制、承诺采购人有权对不称职的技术人员提出更换,成交供应商无条件接受的，由磋商小组根据承诺综合打分。</w:t>
            </w:r>
          </w:p>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承诺方案内容科学，可行性强的，优于项目需求的，得3分；承诺方案较为科学，可行性较强的，符合项目需求的，得2分；承诺方案一般，细节待完善的，得1分；未提供的不得分。 </w:t>
            </w:r>
          </w:p>
        </w:tc>
        <w:tc>
          <w:tcPr>
            <w:tcW w:w="2151" w:type="dxa"/>
            <w:vAlign w:val="center"/>
          </w:tcPr>
          <w:p>
            <w:pPr>
              <w:widowControl/>
              <w:spacing w:line="380" w:lineRule="exact"/>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44" w:type="dxa"/>
            <w:vAlign w:val="center"/>
          </w:tcPr>
          <w:p>
            <w:pPr>
              <w:spacing w:line="38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1533"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合理化建议</w:t>
            </w:r>
          </w:p>
        </w:tc>
        <w:tc>
          <w:tcPr>
            <w:tcW w:w="77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851" w:type="dxa"/>
            <w:vAlign w:val="center"/>
          </w:tcPr>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供应商对本项目实施提出合理建议的，由磋商小组综合打分。</w:t>
            </w:r>
          </w:p>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建议方案内容科学，可行性强的，优于项目需求的，得3分；建议方案较为科学，可行性较强的，符合项目需求的，得2分；建议方案一般，细节待完善的，得1分；未提供的不得分。</w:t>
            </w:r>
          </w:p>
        </w:tc>
        <w:tc>
          <w:tcPr>
            <w:tcW w:w="2151" w:type="dxa"/>
            <w:vAlign w:val="center"/>
          </w:tcPr>
          <w:p>
            <w:pPr>
              <w:widowControl/>
              <w:spacing w:line="380" w:lineRule="exact"/>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4" w:type="dxa"/>
            <w:vAlign w:val="center"/>
          </w:tcPr>
          <w:p>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533" w:type="dxa"/>
            <w:vAlign w:val="center"/>
          </w:tcPr>
          <w:p>
            <w:pPr>
              <w:ind w:firstLine="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客观分</w:t>
            </w:r>
          </w:p>
        </w:tc>
        <w:tc>
          <w:tcPr>
            <w:tcW w:w="779" w:type="dxa"/>
            <w:vAlign w:val="center"/>
          </w:tcPr>
          <w:p>
            <w:pPr>
              <w:ind w:firstLine="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50</w:t>
            </w:r>
          </w:p>
        </w:tc>
        <w:tc>
          <w:tcPr>
            <w:tcW w:w="4851" w:type="dxa"/>
            <w:vAlign w:val="center"/>
          </w:tcPr>
          <w:p>
            <w:pPr>
              <w:widowControl/>
              <w:spacing w:line="280" w:lineRule="exact"/>
              <w:jc w:val="left"/>
              <w:rPr>
                <w:rFonts w:hint="eastAsia" w:ascii="仿宋" w:hAnsi="仿宋" w:eastAsia="仿宋" w:cs="仿宋"/>
                <w:color w:val="auto"/>
                <w:sz w:val="24"/>
                <w:szCs w:val="24"/>
                <w:highlight w:val="none"/>
                <w:lang w:val="zh-CN"/>
              </w:rPr>
            </w:pPr>
          </w:p>
        </w:tc>
        <w:tc>
          <w:tcPr>
            <w:tcW w:w="2151" w:type="dxa"/>
            <w:vAlign w:val="center"/>
          </w:tcPr>
          <w:p>
            <w:pPr>
              <w:widowControl/>
              <w:snapToGrid w:val="0"/>
              <w:spacing w:line="320" w:lineRule="exact"/>
              <w:jc w:val="left"/>
              <w:textAlignment w:val="baseline"/>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744" w:type="dxa"/>
            <w:vAlign w:val="center"/>
          </w:tcPr>
          <w:p>
            <w:pPr>
              <w:ind w:firstLine="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w:t>
            </w:r>
          </w:p>
        </w:tc>
        <w:tc>
          <w:tcPr>
            <w:tcW w:w="1533" w:type="dxa"/>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企业业绩</w:t>
            </w:r>
          </w:p>
        </w:tc>
        <w:tc>
          <w:tcPr>
            <w:tcW w:w="779" w:type="dxa"/>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25</w:t>
            </w:r>
          </w:p>
        </w:tc>
        <w:tc>
          <w:tcPr>
            <w:tcW w:w="4851" w:type="dxa"/>
            <w:vAlign w:val="center"/>
          </w:tcPr>
          <w:p>
            <w:pPr>
              <w:widowControl/>
              <w:spacing w:line="3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供应商自2021年5月1日（时间以合同签订时间为准）以来承接过类似项目业绩的，每提供1份完整有效业绩，得5分，本项最高得25分。</w:t>
            </w:r>
          </w:p>
        </w:tc>
        <w:tc>
          <w:tcPr>
            <w:tcW w:w="2151" w:type="dxa"/>
            <w:vAlign w:val="center"/>
          </w:tcPr>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响应文件中提供合同复印件和与合同一一对应的付款凭证（银行电子回单或银行进账单等）复印件以及与付款凭证对应的发票复印件并加盖投标人公章，否则不得分。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744" w:type="dxa"/>
            <w:vAlign w:val="center"/>
          </w:tcPr>
          <w:p>
            <w:pPr>
              <w:ind w:firstLine="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w:t>
            </w:r>
          </w:p>
        </w:tc>
        <w:tc>
          <w:tcPr>
            <w:tcW w:w="1533" w:type="dxa"/>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项目团队</w:t>
            </w:r>
          </w:p>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w:t>
            </w:r>
          </w:p>
        </w:tc>
        <w:tc>
          <w:tcPr>
            <w:tcW w:w="779" w:type="dxa"/>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4851" w:type="dxa"/>
            <w:vAlign w:val="center"/>
          </w:tcPr>
          <w:p>
            <w:pPr>
              <w:widowControl/>
              <w:spacing w:line="3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1.拟派项目负责人（1名）具有高级工程师职称的，得5分，具有中级工程师职称的，得3分，本项最多得5分。</w:t>
            </w:r>
          </w:p>
          <w:p>
            <w:pPr>
              <w:widowControl/>
              <w:spacing w:line="38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2.拟投入本项目的项目组人员（不含项目负责人）具有高级工程师职称的，有一个得5分，具有中级工程师职称的，有一个得2.5分，本项最多得5分。</w:t>
            </w:r>
          </w:p>
        </w:tc>
        <w:tc>
          <w:tcPr>
            <w:tcW w:w="2151" w:type="dxa"/>
            <w:vAlign w:val="center"/>
          </w:tcPr>
          <w:p>
            <w:pPr>
              <w:widowControl/>
              <w:snapToGrid w:val="0"/>
              <w:spacing w:line="320" w:lineRule="exact"/>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响应文件中提供职称证书及供应商近三个月（2024年2月-4月）为相关人员缴纳的社保证明加盖供应商公章，否则不得分。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44" w:type="dxa"/>
            <w:vAlign w:val="center"/>
          </w:tcPr>
          <w:p>
            <w:pPr>
              <w:spacing w:line="380" w:lineRule="exact"/>
              <w:ind w:firstLine="28"/>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3.3</w:t>
            </w:r>
          </w:p>
        </w:tc>
        <w:tc>
          <w:tcPr>
            <w:tcW w:w="1533" w:type="dxa"/>
            <w:vAlign w:val="center"/>
          </w:tcPr>
          <w:p>
            <w:pPr>
              <w:widowControl/>
              <w:spacing w:line="380" w:lineRule="exact"/>
              <w:jc w:val="center"/>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企业认证</w:t>
            </w:r>
          </w:p>
        </w:tc>
        <w:tc>
          <w:tcPr>
            <w:tcW w:w="779" w:type="dxa"/>
            <w:vAlign w:val="center"/>
          </w:tcPr>
          <w:p>
            <w:pPr>
              <w:widowControl/>
              <w:spacing w:line="380" w:lineRule="exact"/>
              <w:jc w:val="center"/>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15</w:t>
            </w:r>
          </w:p>
        </w:tc>
        <w:tc>
          <w:tcPr>
            <w:tcW w:w="4851" w:type="dxa"/>
            <w:vAlign w:val="center"/>
          </w:tcPr>
          <w:p>
            <w:pPr>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供应商具有有效的质量管理体系、环境管理体系、职业健康安全管理体系认证证书的，有一项得5分，最高15分。</w:t>
            </w:r>
          </w:p>
        </w:tc>
        <w:tc>
          <w:tcPr>
            <w:tcW w:w="2151" w:type="dxa"/>
            <w:vAlign w:val="center"/>
          </w:tcPr>
          <w:p>
            <w:pPr>
              <w:spacing w:line="380" w:lineRule="exact"/>
              <w:ind w:left="-38"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响应文件中提供相关有效证书原件扫描件并加盖公章及官方网站</w:t>
            </w:r>
          </w:p>
          <w:p>
            <w:pPr>
              <w:spacing w:line="380" w:lineRule="exact"/>
              <w:ind w:left="-38"/>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（https://www.cnca.gov.cn/hlwfw/)查询截图。</w:t>
            </w:r>
            <w:r>
              <w:rPr>
                <w:rFonts w:hint="eastAsia" w:ascii="仿宋" w:hAnsi="仿宋" w:eastAsia="仿宋" w:cs="仿宋"/>
                <w:color w:val="auto"/>
                <w:sz w:val="24"/>
                <w:szCs w:val="24"/>
                <w:highlight w:val="none"/>
              </w:rPr>
              <w:t>未提供或无效的不得分。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7" w:type="dxa"/>
            <w:gridSpan w:val="2"/>
            <w:vAlign w:val="center"/>
          </w:tcPr>
          <w:p>
            <w:pPr>
              <w:ind w:firstLine="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合计</w:t>
            </w:r>
          </w:p>
        </w:tc>
        <w:tc>
          <w:tcPr>
            <w:tcW w:w="779" w:type="dxa"/>
            <w:vAlign w:val="center"/>
          </w:tcPr>
          <w:p>
            <w:pPr>
              <w:ind w:firstLine="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100</w:t>
            </w:r>
          </w:p>
        </w:tc>
        <w:tc>
          <w:tcPr>
            <w:tcW w:w="7002" w:type="dxa"/>
            <w:gridSpan w:val="2"/>
            <w:vAlign w:val="center"/>
          </w:tcPr>
          <w:p>
            <w:pPr>
              <w:rPr>
                <w:rFonts w:hint="eastAsia" w:ascii="仿宋" w:hAnsi="仿宋" w:eastAsia="仿宋" w:cs="仿宋"/>
                <w:color w:val="auto"/>
                <w:sz w:val="24"/>
                <w:szCs w:val="24"/>
                <w:highlight w:val="none"/>
              </w:rPr>
            </w:pPr>
          </w:p>
        </w:tc>
      </w:tr>
    </w:tbl>
    <w:p>
      <w:pPr>
        <w:pStyle w:val="22"/>
        <w:spacing w:line="360" w:lineRule="auto"/>
        <w:ind w:firstLine="0" w:firstLineChars="0"/>
        <w:rPr>
          <w:rFonts w:ascii="仿宋" w:hAnsi="仿宋" w:eastAsia="仿宋" w:cs="仿宋"/>
          <w:b/>
          <w:color w:val="auto"/>
          <w:sz w:val="24"/>
          <w:highlight w:val="none"/>
        </w:rPr>
      </w:pPr>
      <w:r>
        <w:rPr>
          <w:rFonts w:hint="eastAsia" w:ascii="仿宋" w:hAnsi="仿宋" w:eastAsia="仿宋" w:cs="仿宋"/>
          <w:b/>
          <w:color w:val="auto"/>
          <w:sz w:val="24"/>
          <w:highlight w:val="none"/>
        </w:rPr>
        <w:t>注意事项：</w:t>
      </w:r>
    </w:p>
    <w:p>
      <w:pPr>
        <w:pStyle w:val="22"/>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1、评标标准中涉及的相关证明文件，除了按照要求在响应文件中提供相关文件的复印件（加盖公章），如有要求材料原件或公证件现场核查的，供应商应在响应文件接收截止时间前随同响应文件一并提交以备核实，否则该项不得分，过时不予接收。 </w:t>
      </w:r>
    </w:p>
    <w:p>
      <w:pPr>
        <w:pStyle w:val="22"/>
        <w:spacing w:line="360" w:lineRule="auto"/>
        <w:ind w:firstLine="482"/>
        <w:rPr>
          <w:rFonts w:ascii="仿宋" w:hAnsi="仿宋" w:eastAsia="仿宋" w:cs="仿宋"/>
          <w:color w:val="auto"/>
          <w:highlight w:val="none"/>
        </w:rPr>
      </w:pPr>
      <w:r>
        <w:rPr>
          <w:rFonts w:hint="eastAsia" w:ascii="仿宋" w:hAnsi="仿宋" w:eastAsia="仿宋" w:cs="仿宋"/>
          <w:b/>
          <w:color w:val="auto"/>
          <w:sz w:val="24"/>
          <w:highlight w:val="none"/>
        </w:rPr>
        <w:t>2、为便于评分，请供应商按评分表样式，逐条列出证明材料所在页码，格式自定。</w:t>
      </w:r>
    </w:p>
    <w:p>
      <w:pPr>
        <w:spacing w:line="480" w:lineRule="auto"/>
        <w:jc w:val="center"/>
        <w:rPr>
          <w:rFonts w:ascii="仿宋" w:hAnsi="仿宋" w:eastAsia="仿宋" w:cs="仿宋"/>
          <w:b/>
          <w:color w:val="auto"/>
          <w:sz w:val="44"/>
          <w:szCs w:val="21"/>
          <w:highlight w:val="none"/>
        </w:rPr>
      </w:pPr>
    </w:p>
    <w:p>
      <w:pPr>
        <w:jc w:val="left"/>
        <w:rPr>
          <w:rFonts w:ascii="仿宋" w:hAnsi="仿宋" w:eastAsia="仿宋" w:cs="仿宋"/>
          <w:b/>
          <w:color w:val="auto"/>
          <w:sz w:val="44"/>
          <w:szCs w:val="21"/>
          <w:highlight w:val="none"/>
        </w:rPr>
      </w:pPr>
      <w:r>
        <w:rPr>
          <w:rFonts w:ascii="仿宋" w:hAnsi="仿宋" w:eastAsia="仿宋" w:cs="仿宋"/>
          <w:b/>
          <w:color w:val="auto"/>
          <w:sz w:val="44"/>
          <w:szCs w:val="21"/>
          <w:highlight w:val="none"/>
        </w:rPr>
        <w:br w:type="page"/>
      </w:r>
      <w:bookmarkEnd w:id="92"/>
    </w:p>
    <w:p>
      <w:pPr>
        <w:spacing w:line="480" w:lineRule="auto"/>
        <w:jc w:val="center"/>
        <w:outlineLvl w:val="0"/>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 xml:space="preserve">第六章  </w:t>
      </w:r>
      <w:bookmarkEnd w:id="90"/>
      <w:bookmarkEnd w:id="91"/>
      <w:r>
        <w:rPr>
          <w:rFonts w:hint="eastAsia" w:ascii="仿宋" w:hAnsi="仿宋" w:eastAsia="仿宋" w:cs="仿宋"/>
          <w:b/>
          <w:color w:val="auto"/>
          <w:sz w:val="44"/>
          <w:szCs w:val="21"/>
          <w:highlight w:val="none"/>
        </w:rPr>
        <w:t>响应文件格式</w:t>
      </w:r>
    </w:p>
    <w:p>
      <w:pPr>
        <w:jc w:val="center"/>
        <w:rPr>
          <w:rFonts w:ascii="仿宋" w:hAnsi="仿宋" w:eastAsia="仿宋" w:cs="仿宋"/>
          <w:b/>
          <w:color w:val="auto"/>
          <w:sz w:val="72"/>
          <w:highlight w:val="none"/>
        </w:rPr>
      </w:pPr>
      <w:bookmarkStart w:id="93" w:name="_Hlt26955039"/>
      <w:bookmarkEnd w:id="93"/>
      <w:bookmarkStart w:id="94" w:name="_Hlt26671244"/>
      <w:bookmarkEnd w:id="94"/>
      <w:bookmarkStart w:id="95" w:name="_Toc120614282"/>
      <w:bookmarkStart w:id="96" w:name="_Toc49090576"/>
      <w:bookmarkStart w:id="97" w:name="_Toc26554094"/>
    </w:p>
    <w:p>
      <w:pPr>
        <w:jc w:val="center"/>
        <w:rPr>
          <w:rFonts w:ascii="仿宋" w:hAnsi="仿宋" w:eastAsia="仿宋" w:cs="仿宋"/>
          <w:b/>
          <w:color w:val="auto"/>
          <w:sz w:val="72"/>
          <w:highlight w:val="none"/>
        </w:rPr>
      </w:pPr>
      <w:r>
        <w:rPr>
          <w:rFonts w:hint="eastAsia" w:ascii="仿宋" w:hAnsi="仿宋" w:eastAsia="仿宋" w:cs="仿宋"/>
          <w:b/>
          <w:color w:val="auto"/>
          <w:sz w:val="72"/>
          <w:highlight w:val="none"/>
        </w:rPr>
        <w:t>响  应  文  件</w:t>
      </w:r>
    </w:p>
    <w:p>
      <w:pPr>
        <w:jc w:val="center"/>
        <w:rPr>
          <w:rFonts w:ascii="仿宋" w:hAnsi="仿宋" w:eastAsia="仿宋" w:cs="仿宋"/>
          <w:b/>
          <w:color w:val="auto"/>
          <w:sz w:val="72"/>
          <w:highlight w:val="none"/>
        </w:rPr>
      </w:pPr>
    </w:p>
    <w:p>
      <w:pPr>
        <w:jc w:val="center"/>
        <w:rPr>
          <w:rFonts w:ascii="仿宋" w:hAnsi="仿宋" w:eastAsia="仿宋" w:cs="仿宋"/>
          <w:b/>
          <w:color w:val="auto"/>
          <w:sz w:val="72"/>
          <w:highlight w:val="none"/>
        </w:rPr>
      </w:pPr>
    </w:p>
    <w:p>
      <w:pPr>
        <w:jc w:val="center"/>
        <w:rPr>
          <w:rFonts w:ascii="仿宋" w:hAnsi="仿宋" w:eastAsia="仿宋" w:cs="仿宋"/>
          <w:b/>
          <w:color w:val="auto"/>
          <w:sz w:val="36"/>
          <w:highlight w:val="none"/>
        </w:rPr>
      </w:pPr>
    </w:p>
    <w:p>
      <w:pPr>
        <w:jc w:val="center"/>
        <w:rPr>
          <w:rFonts w:ascii="仿宋" w:hAnsi="仿宋" w:eastAsia="仿宋" w:cs="仿宋"/>
          <w:b/>
          <w:color w:val="auto"/>
          <w:sz w:val="36"/>
          <w:highlight w:val="none"/>
        </w:rPr>
      </w:pPr>
    </w:p>
    <w:p>
      <w:pPr>
        <w:jc w:val="center"/>
        <w:rPr>
          <w:rFonts w:ascii="仿宋" w:hAnsi="仿宋" w:eastAsia="仿宋" w:cs="仿宋"/>
          <w:b/>
          <w:color w:val="auto"/>
          <w:sz w:val="36"/>
          <w:highlight w:val="none"/>
        </w:rPr>
      </w:pPr>
    </w:p>
    <w:p>
      <w:pPr>
        <w:ind w:firstLine="1084" w:firstLineChars="300"/>
        <w:rPr>
          <w:rFonts w:ascii="仿宋" w:hAnsi="仿宋" w:eastAsia="仿宋" w:cs="仿宋"/>
          <w:b/>
          <w:color w:val="auto"/>
          <w:sz w:val="36"/>
          <w:highlight w:val="none"/>
        </w:rPr>
      </w:pPr>
      <w:r>
        <w:rPr>
          <w:rFonts w:hint="eastAsia" w:ascii="仿宋" w:hAnsi="仿宋" w:eastAsia="仿宋" w:cs="仿宋"/>
          <w:b/>
          <w:color w:val="auto"/>
          <w:sz w:val="36"/>
          <w:highlight w:val="none"/>
        </w:rPr>
        <w:t>项 目 名 称：</w:t>
      </w:r>
      <w:r>
        <w:rPr>
          <w:rFonts w:hint="eastAsia" w:ascii="仿宋" w:hAnsi="仿宋" w:eastAsia="仿宋" w:cs="仿宋"/>
          <w:b/>
          <w:color w:val="auto"/>
          <w:sz w:val="36"/>
          <w:highlight w:val="none"/>
          <w:u w:val="single"/>
        </w:rPr>
        <w:t xml:space="preserve">               </w:t>
      </w:r>
    </w:p>
    <w:p>
      <w:pPr>
        <w:ind w:firstLine="1084" w:firstLineChars="300"/>
        <w:rPr>
          <w:rFonts w:ascii="仿宋" w:hAnsi="仿宋" w:eastAsia="仿宋" w:cs="仿宋"/>
          <w:b/>
          <w:color w:val="auto"/>
          <w:sz w:val="36"/>
          <w:highlight w:val="none"/>
          <w:u w:val="single"/>
        </w:rPr>
      </w:pPr>
      <w:r>
        <w:rPr>
          <w:rFonts w:hint="eastAsia" w:ascii="仿宋" w:hAnsi="仿宋" w:eastAsia="仿宋" w:cs="仿宋"/>
          <w:b/>
          <w:color w:val="auto"/>
          <w:sz w:val="36"/>
          <w:highlight w:val="none"/>
        </w:rPr>
        <w:t>项 目 编 号：</w:t>
      </w:r>
      <w:r>
        <w:rPr>
          <w:rFonts w:hint="eastAsia" w:ascii="仿宋" w:hAnsi="仿宋" w:eastAsia="仿宋" w:cs="仿宋"/>
          <w:b/>
          <w:color w:val="auto"/>
          <w:sz w:val="36"/>
          <w:highlight w:val="none"/>
          <w:u w:val="single"/>
        </w:rPr>
        <w:t xml:space="preserve">               </w:t>
      </w:r>
    </w:p>
    <w:p>
      <w:pPr>
        <w:rPr>
          <w:rFonts w:ascii="仿宋" w:hAnsi="仿宋" w:eastAsia="仿宋" w:cs="仿宋"/>
          <w:b/>
          <w:color w:val="auto"/>
          <w:sz w:val="36"/>
          <w:highlight w:val="none"/>
        </w:rPr>
      </w:pPr>
    </w:p>
    <w:p>
      <w:pPr>
        <w:rPr>
          <w:rFonts w:ascii="仿宋" w:hAnsi="仿宋" w:eastAsia="仿宋" w:cs="仿宋"/>
          <w:b/>
          <w:color w:val="auto"/>
          <w:sz w:val="36"/>
          <w:highlight w:val="none"/>
        </w:rPr>
      </w:pPr>
    </w:p>
    <w:p>
      <w:pPr>
        <w:rPr>
          <w:rFonts w:ascii="仿宋" w:hAnsi="仿宋" w:eastAsia="仿宋" w:cs="仿宋"/>
          <w:b/>
          <w:color w:val="auto"/>
          <w:sz w:val="36"/>
          <w:highlight w:val="none"/>
        </w:rPr>
      </w:pPr>
    </w:p>
    <w:p>
      <w:pPr>
        <w:rPr>
          <w:rFonts w:ascii="仿宋" w:hAnsi="仿宋" w:eastAsia="仿宋" w:cs="仿宋"/>
          <w:b/>
          <w:color w:val="auto"/>
          <w:sz w:val="36"/>
          <w:highlight w:val="none"/>
        </w:rPr>
      </w:pPr>
    </w:p>
    <w:p>
      <w:pPr>
        <w:rPr>
          <w:rFonts w:ascii="仿宋" w:hAnsi="仿宋" w:eastAsia="仿宋" w:cs="仿宋"/>
          <w:b/>
          <w:color w:val="auto"/>
          <w:sz w:val="36"/>
          <w:highlight w:val="none"/>
        </w:rPr>
      </w:pPr>
    </w:p>
    <w:p>
      <w:pPr>
        <w:rPr>
          <w:rFonts w:ascii="仿宋" w:hAnsi="仿宋" w:eastAsia="仿宋" w:cs="仿宋"/>
          <w:b/>
          <w:color w:val="auto"/>
          <w:sz w:val="36"/>
          <w:highlight w:val="none"/>
          <w:u w:val="single"/>
        </w:rPr>
      </w:pPr>
      <w:r>
        <w:rPr>
          <w:rFonts w:hint="eastAsia" w:ascii="仿宋" w:hAnsi="仿宋" w:eastAsia="仿宋" w:cs="仿宋"/>
          <w:b/>
          <w:color w:val="auto"/>
          <w:sz w:val="36"/>
          <w:highlight w:val="none"/>
        </w:rPr>
        <w:t xml:space="preserve">      供应商名称（公章） ：</w:t>
      </w:r>
      <w:r>
        <w:rPr>
          <w:rFonts w:hint="eastAsia" w:ascii="仿宋" w:hAnsi="仿宋" w:eastAsia="仿宋" w:cs="仿宋"/>
          <w:b/>
          <w:color w:val="auto"/>
          <w:sz w:val="36"/>
          <w:highlight w:val="none"/>
          <w:u w:val="single"/>
        </w:rPr>
        <w:t xml:space="preserve">               </w:t>
      </w:r>
    </w:p>
    <w:p>
      <w:pPr>
        <w:rPr>
          <w:rFonts w:ascii="仿宋" w:hAnsi="仿宋" w:eastAsia="仿宋" w:cs="仿宋"/>
          <w:b/>
          <w:color w:val="auto"/>
          <w:sz w:val="36"/>
          <w:highlight w:val="none"/>
        </w:rPr>
      </w:pPr>
      <w:r>
        <w:rPr>
          <w:rFonts w:hint="eastAsia" w:ascii="仿宋" w:hAnsi="仿宋" w:eastAsia="仿宋" w:cs="仿宋"/>
          <w:b/>
          <w:color w:val="auto"/>
          <w:sz w:val="36"/>
          <w:highlight w:val="none"/>
        </w:rPr>
        <w:t xml:space="preserve">       日      期 ：</w:t>
      </w:r>
      <w:r>
        <w:rPr>
          <w:rFonts w:hint="eastAsia" w:ascii="仿宋" w:hAnsi="仿宋" w:eastAsia="仿宋" w:cs="仿宋"/>
          <w:b/>
          <w:color w:val="auto"/>
          <w:sz w:val="36"/>
          <w:highlight w:val="none"/>
          <w:u w:val="single"/>
        </w:rPr>
        <w:t xml:space="preserve">               </w:t>
      </w:r>
    </w:p>
    <w:p>
      <w:pPr>
        <w:spacing w:line="440" w:lineRule="exact"/>
        <w:ind w:firstLine="643"/>
        <w:jc w:val="center"/>
        <w:rPr>
          <w:rFonts w:ascii="仿宋" w:hAnsi="仿宋" w:eastAsia="仿宋" w:cs="仿宋"/>
          <w:b/>
          <w:bCs/>
          <w:color w:val="auto"/>
          <w:sz w:val="32"/>
          <w:szCs w:val="32"/>
          <w:highlight w:val="none"/>
        </w:rPr>
      </w:pPr>
    </w:p>
    <w:p>
      <w:pPr>
        <w:spacing w:line="480" w:lineRule="auto"/>
        <w:outlineLvl w:val="0"/>
        <w:rPr>
          <w:rFonts w:ascii="仿宋" w:hAnsi="仿宋" w:eastAsia="仿宋" w:cs="仿宋"/>
          <w:b/>
          <w:color w:val="auto"/>
          <w:sz w:val="44"/>
          <w:szCs w:val="21"/>
          <w:highlight w:val="none"/>
        </w:rPr>
      </w:pPr>
    </w:p>
    <w:p>
      <w:pPr>
        <w:spacing w:line="480" w:lineRule="auto"/>
        <w:outlineLvl w:val="0"/>
        <w:rPr>
          <w:rFonts w:ascii="仿宋" w:hAnsi="仿宋" w:eastAsia="仿宋" w:cs="仿宋"/>
          <w:b/>
          <w:color w:val="auto"/>
          <w:sz w:val="44"/>
          <w:szCs w:val="21"/>
          <w:highlight w:val="none"/>
        </w:rPr>
      </w:pPr>
    </w:p>
    <w:p>
      <w:pPr>
        <w:spacing w:line="480" w:lineRule="auto"/>
        <w:outlineLvl w:val="0"/>
        <w:rPr>
          <w:rFonts w:ascii="仿宋" w:hAnsi="仿宋" w:eastAsia="仿宋" w:cs="仿宋"/>
          <w:b/>
          <w:color w:val="auto"/>
          <w:sz w:val="44"/>
          <w:szCs w:val="21"/>
          <w:highlight w:val="none"/>
        </w:rPr>
      </w:pPr>
    </w:p>
    <w:p>
      <w:pPr>
        <w:spacing w:line="480" w:lineRule="auto"/>
        <w:jc w:val="center"/>
        <w:outlineLvl w:val="0"/>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 xml:space="preserve">响 应 文 件 目 录 </w:t>
      </w:r>
    </w:p>
    <w:p>
      <w:pPr>
        <w:snapToGrid w:val="0"/>
        <w:spacing w:before="50" w:after="50" w:line="360" w:lineRule="auto"/>
        <w:ind w:firstLine="506" w:firstLineChars="180"/>
        <w:rPr>
          <w:rFonts w:ascii="仿宋" w:hAnsi="仿宋" w:eastAsia="仿宋" w:cs="仿宋"/>
          <w:b/>
          <w:bCs/>
          <w:color w:val="auto"/>
          <w:sz w:val="28"/>
          <w:szCs w:val="28"/>
          <w:highlight w:val="none"/>
        </w:rPr>
      </w:pPr>
    </w:p>
    <w:p>
      <w:pPr>
        <w:snapToGrid w:val="0"/>
        <w:spacing w:before="50" w:after="50" w:line="360" w:lineRule="auto"/>
        <w:ind w:firstLine="506" w:firstLineChars="18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（一）实质性资格证明文件</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★1、法定代表人身份证复印件 </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★2、授权委托书（如有授权必须提供，格式参见附件1）</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★3、代理人身份证复印件（如有授权必须提供）</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★4、声明函（格式参见附件2）</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★5、响应函（格式参见附件3）</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★6、工商营业执照副本复印件（三证合一）</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★7、供应商情况表（格式参见附件4）</w:t>
      </w:r>
    </w:p>
    <w:p>
      <w:pPr>
        <w:snapToGrid w:val="0"/>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（二）商务及技术部分文件</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★1、报价一览表（格式参见附件5）</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★2、偏离表（格式参见附件6）</w:t>
      </w:r>
    </w:p>
    <w:p>
      <w:pPr>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3、项目组人员清单（格式参见附件7）</w:t>
      </w:r>
    </w:p>
    <w:p>
      <w:pPr>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4、服务实施方案等（供应商自行提供）</w:t>
      </w:r>
    </w:p>
    <w:p>
      <w:pPr>
        <w:snapToGrid w:val="0"/>
        <w:spacing w:before="50" w:after="50" w:line="360" w:lineRule="auto"/>
        <w:ind w:firstLine="419" w:firstLineChars="149"/>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（三）非实质性资信证明文件目录（如果有的话请提供）</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1、供应商认为可以证明其能力或业绩的其他材料----包含成功案例、业绩证明（供应商同类项目实施情况一览表、合同复印件）</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2、供应商的信誉、荣誉、获奖证书或文件</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3、供应商质量保证体系、环境保证体系等方面的认证证书</w:t>
      </w:r>
    </w:p>
    <w:p>
      <w:pPr>
        <w:snapToGrid w:val="0"/>
        <w:spacing w:line="360" w:lineRule="auto"/>
        <w:ind w:firstLine="281" w:firstLineChars="1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（四）竞争性磋商文件要求供应商提供的和供应商认为与本项目有关的并可以提供的其它相关的证明材料（如果有的话请提供）。</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注：1.上述带★材料必须在响应文件中提供，否则将作为无效响应文件处理；</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2.提供复印件的须加盖供应商公章，且复印件内容应清晰可辨，必要时磋商小组有权要求提供原件或公证件进行核对；</w:t>
      </w:r>
    </w:p>
    <w:p>
      <w:pPr>
        <w:snapToGrid w:val="0"/>
        <w:spacing w:line="360" w:lineRule="auto"/>
        <w:ind w:firstLine="560" w:firstLineChars="200"/>
        <w:rPr>
          <w:rFonts w:ascii="仿宋" w:hAnsi="仿宋" w:eastAsia="仿宋" w:cs="仿宋"/>
          <w:bCs/>
          <w:color w:val="auto"/>
          <w:sz w:val="24"/>
          <w:highlight w:val="none"/>
        </w:rPr>
      </w:pPr>
      <w:r>
        <w:rPr>
          <w:rFonts w:hint="eastAsia" w:ascii="仿宋" w:hAnsi="仿宋" w:eastAsia="仿宋" w:cs="仿宋"/>
          <w:color w:val="auto"/>
          <w:sz w:val="28"/>
          <w:szCs w:val="28"/>
          <w:highlight w:val="none"/>
        </w:rPr>
        <w:t>3.本章中的所有的附件格式供参考，供应商可根据自身情况进行补充和修改，但补充和修改不得与本章附件格式内容有实质性的违背。</w:t>
      </w:r>
      <w:r>
        <w:rPr>
          <w:rFonts w:hint="eastAsia" w:ascii="仿宋" w:hAnsi="仿宋" w:eastAsia="仿宋" w:cs="仿宋"/>
          <w:color w:val="auto"/>
          <w:sz w:val="22"/>
          <w:szCs w:val="28"/>
          <w:highlight w:val="none"/>
        </w:rPr>
        <w:br w:type="page"/>
      </w:r>
      <w:r>
        <w:rPr>
          <w:rFonts w:hint="eastAsia" w:ascii="仿宋" w:hAnsi="仿宋" w:eastAsia="仿宋" w:cs="仿宋"/>
          <w:b/>
          <w:bCs/>
          <w:color w:val="auto"/>
          <w:sz w:val="24"/>
          <w:szCs w:val="21"/>
          <w:highlight w:val="none"/>
        </w:rPr>
        <w:t>附件1：</w:t>
      </w:r>
    </w:p>
    <w:p>
      <w:pPr>
        <w:pStyle w:val="5"/>
        <w:jc w:val="center"/>
        <w:rPr>
          <w:rFonts w:ascii="仿宋" w:hAnsi="仿宋" w:eastAsia="仿宋" w:cs="仿宋"/>
          <w:bCs/>
          <w:color w:val="auto"/>
          <w:kern w:val="2"/>
          <w:sz w:val="36"/>
          <w:szCs w:val="22"/>
          <w:highlight w:val="none"/>
          <w:u w:val="none"/>
        </w:rPr>
      </w:pPr>
      <w:r>
        <w:rPr>
          <w:rFonts w:hint="eastAsia" w:ascii="仿宋" w:hAnsi="仿宋" w:eastAsia="仿宋" w:cs="仿宋"/>
          <w:bCs/>
          <w:color w:val="auto"/>
          <w:kern w:val="2"/>
          <w:sz w:val="36"/>
          <w:szCs w:val="22"/>
          <w:highlight w:val="none"/>
          <w:u w:val="none"/>
        </w:rPr>
        <w:t>授权委托书</w:t>
      </w:r>
    </w:p>
    <w:p>
      <w:pPr>
        <w:pStyle w:val="61"/>
        <w:spacing w:line="480" w:lineRule="auto"/>
        <w:ind w:firstLine="480"/>
        <w:rPr>
          <w:rFonts w:ascii="仿宋" w:hAnsi="仿宋" w:eastAsia="仿宋" w:cs="仿宋"/>
          <w:color w:val="auto"/>
          <w:highlight w:val="none"/>
        </w:rPr>
      </w:pPr>
      <w:r>
        <w:rPr>
          <w:rFonts w:hint="eastAsia" w:ascii="仿宋" w:hAnsi="仿宋" w:eastAsia="仿宋" w:cs="仿宋"/>
          <w:color w:val="auto"/>
          <w:highlight w:val="none"/>
        </w:rPr>
        <w:t>本授权委托书声明：____________（供应商名称）授权________________（被授权人的姓名）为我方就ZYJS-SC2024063号关于2024年政府项目前期国土咨询调查服务项目竞争性磋商活动的合法代理人，以本公司名义全权处理一切与该项目竞争性磋商有关的事务，我单位均予以承认。</w:t>
      </w:r>
    </w:p>
    <w:p>
      <w:pPr>
        <w:pStyle w:val="61"/>
        <w:spacing w:line="48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代理人无转委托权。</w:t>
      </w:r>
    </w:p>
    <w:p>
      <w:pPr>
        <w:pStyle w:val="61"/>
        <w:spacing w:line="48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代理人的代理期限为自本授权委托书签署之日起至项目合同履行完毕止。</w:t>
      </w:r>
    </w:p>
    <w:p>
      <w:pPr>
        <w:pStyle w:val="61"/>
        <w:spacing w:line="48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代理人在授权委托书有效期内签署的所有文件不因授权委托的撤销而失效，本授权委托书的有效期与代理人的代理期限一致。</w:t>
      </w:r>
    </w:p>
    <w:p>
      <w:pPr>
        <w:pStyle w:val="61"/>
        <w:spacing w:line="48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特此声明。</w:t>
      </w:r>
    </w:p>
    <w:p>
      <w:pPr>
        <w:pStyle w:val="61"/>
        <w:spacing w:line="480" w:lineRule="auto"/>
        <w:rPr>
          <w:rFonts w:ascii="仿宋" w:hAnsi="仿宋" w:eastAsia="仿宋" w:cs="仿宋"/>
          <w:color w:val="auto"/>
          <w:highlight w:val="none"/>
        </w:rPr>
      </w:pPr>
    </w:p>
    <w:p>
      <w:pPr>
        <w:pStyle w:val="61"/>
        <w:spacing w:line="480" w:lineRule="auto"/>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bCs/>
          <w:color w:val="auto"/>
          <w:highlight w:val="none"/>
        </w:rPr>
        <w:t>供应商</w:t>
      </w:r>
      <w:r>
        <w:rPr>
          <w:rFonts w:hint="eastAsia" w:ascii="仿宋" w:hAnsi="仿宋" w:eastAsia="仿宋" w:cs="仿宋"/>
          <w:color w:val="auto"/>
          <w:highlight w:val="none"/>
        </w:rPr>
        <w:t>（盖章）：</w:t>
      </w:r>
    </w:p>
    <w:p>
      <w:pPr>
        <w:pStyle w:val="61"/>
        <w:spacing w:line="480" w:lineRule="auto"/>
        <w:rPr>
          <w:rFonts w:ascii="仿宋" w:hAnsi="仿宋" w:eastAsia="仿宋" w:cs="仿宋"/>
          <w:color w:val="auto"/>
          <w:highlight w:val="none"/>
        </w:rPr>
      </w:pPr>
      <w:r>
        <w:rPr>
          <w:rFonts w:hint="eastAsia" w:ascii="仿宋" w:hAnsi="仿宋" w:eastAsia="仿宋" w:cs="仿宋"/>
          <w:color w:val="auto"/>
          <w:highlight w:val="none"/>
        </w:rPr>
        <w:t xml:space="preserve">   法定代表人（签字或盖章）：</w:t>
      </w:r>
    </w:p>
    <w:p>
      <w:pPr>
        <w:pStyle w:val="61"/>
        <w:spacing w:line="480" w:lineRule="auto"/>
        <w:rPr>
          <w:rFonts w:ascii="仿宋" w:hAnsi="仿宋" w:eastAsia="仿宋" w:cs="仿宋"/>
          <w:color w:val="auto"/>
          <w:highlight w:val="none"/>
        </w:rPr>
      </w:pPr>
      <w:r>
        <w:rPr>
          <w:rFonts w:hint="eastAsia" w:ascii="仿宋" w:hAnsi="仿宋" w:eastAsia="仿宋" w:cs="仿宋"/>
          <w:color w:val="auto"/>
          <w:highlight w:val="none"/>
        </w:rPr>
        <w:t xml:space="preserve">   身份证号码：</w:t>
      </w:r>
    </w:p>
    <w:p>
      <w:pPr>
        <w:pStyle w:val="61"/>
        <w:spacing w:line="480" w:lineRule="auto"/>
        <w:rPr>
          <w:rFonts w:ascii="仿宋" w:hAnsi="仿宋" w:eastAsia="仿宋" w:cs="仿宋"/>
          <w:color w:val="auto"/>
          <w:highlight w:val="none"/>
        </w:rPr>
      </w:pPr>
    </w:p>
    <w:p>
      <w:pPr>
        <w:pStyle w:val="61"/>
        <w:spacing w:line="480" w:lineRule="auto"/>
        <w:rPr>
          <w:rFonts w:ascii="仿宋" w:hAnsi="仿宋" w:eastAsia="仿宋" w:cs="仿宋"/>
          <w:color w:val="auto"/>
          <w:highlight w:val="none"/>
        </w:rPr>
      </w:pPr>
      <w:r>
        <w:rPr>
          <w:rFonts w:hint="eastAsia" w:ascii="仿宋" w:hAnsi="仿宋" w:eastAsia="仿宋" w:cs="仿宋"/>
          <w:color w:val="auto"/>
          <w:highlight w:val="none"/>
        </w:rPr>
        <w:t xml:space="preserve">   代理人：（签字或盖章）</w:t>
      </w:r>
    </w:p>
    <w:p>
      <w:pPr>
        <w:pStyle w:val="61"/>
        <w:spacing w:line="480" w:lineRule="auto"/>
        <w:rPr>
          <w:rFonts w:ascii="仿宋" w:hAnsi="仿宋" w:eastAsia="仿宋" w:cs="仿宋"/>
          <w:color w:val="auto"/>
          <w:highlight w:val="none"/>
        </w:rPr>
      </w:pPr>
      <w:r>
        <w:rPr>
          <w:rFonts w:hint="eastAsia" w:ascii="仿宋" w:hAnsi="仿宋" w:eastAsia="仿宋" w:cs="仿宋"/>
          <w:color w:val="auto"/>
          <w:highlight w:val="none"/>
        </w:rPr>
        <w:t xml:space="preserve">   通讯地址：                   </w:t>
      </w:r>
    </w:p>
    <w:p>
      <w:pPr>
        <w:pStyle w:val="61"/>
        <w:spacing w:line="480" w:lineRule="auto"/>
        <w:rPr>
          <w:rFonts w:ascii="仿宋" w:hAnsi="仿宋" w:eastAsia="仿宋" w:cs="仿宋"/>
          <w:color w:val="auto"/>
          <w:highlight w:val="none"/>
        </w:rPr>
      </w:pPr>
      <w:r>
        <w:rPr>
          <w:rFonts w:hint="eastAsia" w:ascii="仿宋" w:hAnsi="仿宋" w:eastAsia="仿宋" w:cs="仿宋"/>
          <w:color w:val="auto"/>
          <w:highlight w:val="none"/>
        </w:rPr>
        <w:t xml:space="preserve">   通讯电话：</w:t>
      </w:r>
    </w:p>
    <w:p>
      <w:pPr>
        <w:pStyle w:val="61"/>
        <w:spacing w:line="480" w:lineRule="auto"/>
        <w:rPr>
          <w:rFonts w:ascii="仿宋" w:hAnsi="仿宋" w:eastAsia="仿宋" w:cs="仿宋"/>
          <w:color w:val="auto"/>
          <w:highlight w:val="none"/>
        </w:rPr>
      </w:pPr>
      <w:r>
        <w:rPr>
          <w:rFonts w:hint="eastAsia" w:ascii="仿宋" w:hAnsi="仿宋" w:eastAsia="仿宋" w:cs="仿宋"/>
          <w:color w:val="auto"/>
          <w:highlight w:val="none"/>
        </w:rPr>
        <w:t xml:space="preserve">   邮箱：</w:t>
      </w:r>
    </w:p>
    <w:p>
      <w:pPr>
        <w:pStyle w:val="61"/>
        <w:spacing w:line="480" w:lineRule="auto"/>
        <w:rPr>
          <w:rFonts w:ascii="仿宋" w:hAnsi="仿宋" w:eastAsia="仿宋" w:cs="仿宋"/>
          <w:color w:val="auto"/>
          <w:highlight w:val="none"/>
        </w:rPr>
      </w:pPr>
      <w:r>
        <w:rPr>
          <w:rFonts w:hint="eastAsia" w:ascii="仿宋" w:hAnsi="仿宋" w:eastAsia="仿宋" w:cs="仿宋"/>
          <w:color w:val="auto"/>
          <w:highlight w:val="none"/>
        </w:rPr>
        <w:t xml:space="preserve">   身份证号码：</w:t>
      </w:r>
    </w:p>
    <w:p>
      <w:pPr>
        <w:pStyle w:val="61"/>
        <w:spacing w:line="480" w:lineRule="auto"/>
        <w:rPr>
          <w:rFonts w:ascii="仿宋" w:hAnsi="仿宋" w:eastAsia="仿宋" w:cs="仿宋"/>
          <w:color w:val="auto"/>
          <w:highlight w:val="none"/>
        </w:rPr>
      </w:pPr>
      <w:r>
        <w:rPr>
          <w:rFonts w:hint="eastAsia" w:ascii="仿宋" w:hAnsi="仿宋" w:eastAsia="仿宋" w:cs="仿宋"/>
          <w:color w:val="auto"/>
          <w:highlight w:val="none"/>
        </w:rPr>
        <w:t xml:space="preserve">                                                              年    月     日</w:t>
      </w:r>
    </w:p>
    <w:p>
      <w:pPr>
        <w:pStyle w:val="7"/>
        <w:ind w:firstLine="480"/>
        <w:rPr>
          <w:rFonts w:ascii="仿宋" w:hAnsi="仿宋" w:eastAsia="仿宋" w:cs="仿宋"/>
          <w:color w:val="auto"/>
          <w:highlight w:val="none"/>
        </w:rPr>
      </w:pPr>
    </w:p>
    <w:p>
      <w:pPr>
        <w:pStyle w:val="5"/>
        <w:rPr>
          <w:rFonts w:ascii="仿宋" w:hAnsi="仿宋" w:eastAsia="仿宋" w:cs="仿宋"/>
          <w:bCs/>
          <w:color w:val="auto"/>
          <w:kern w:val="2"/>
          <w:szCs w:val="21"/>
          <w:highlight w:val="none"/>
          <w:u w:val="none"/>
        </w:rPr>
      </w:pPr>
      <w:r>
        <w:rPr>
          <w:rFonts w:hint="eastAsia" w:ascii="仿宋" w:hAnsi="仿宋" w:eastAsia="仿宋" w:cs="仿宋"/>
          <w:bCs/>
          <w:color w:val="auto"/>
          <w:kern w:val="2"/>
          <w:szCs w:val="21"/>
          <w:highlight w:val="none"/>
          <w:u w:val="none"/>
        </w:rPr>
        <w:t>附件2：</w:t>
      </w:r>
    </w:p>
    <w:p>
      <w:pPr>
        <w:pStyle w:val="5"/>
        <w:rPr>
          <w:rFonts w:ascii="仿宋" w:hAnsi="仿宋" w:eastAsia="仿宋" w:cs="仿宋"/>
          <w:bCs/>
          <w:color w:val="auto"/>
          <w:kern w:val="2"/>
          <w:szCs w:val="21"/>
          <w:highlight w:val="none"/>
        </w:rPr>
      </w:pPr>
    </w:p>
    <w:p>
      <w:pPr>
        <w:spacing w:line="460" w:lineRule="exact"/>
        <w:jc w:val="center"/>
        <w:rPr>
          <w:rFonts w:ascii="仿宋" w:hAnsi="仿宋" w:eastAsia="仿宋" w:cs="仿宋"/>
          <w:b/>
          <w:bCs/>
          <w:color w:val="auto"/>
          <w:sz w:val="36"/>
          <w:szCs w:val="22"/>
          <w:highlight w:val="none"/>
        </w:rPr>
      </w:pPr>
      <w:r>
        <w:rPr>
          <w:rFonts w:hint="eastAsia" w:ascii="仿宋" w:hAnsi="仿宋" w:eastAsia="仿宋" w:cs="仿宋"/>
          <w:b/>
          <w:bCs/>
          <w:color w:val="auto"/>
          <w:sz w:val="36"/>
          <w:szCs w:val="22"/>
          <w:highlight w:val="none"/>
        </w:rPr>
        <w:t>声 明 函</w:t>
      </w:r>
    </w:p>
    <w:p>
      <w:pPr>
        <w:spacing w:line="460" w:lineRule="exact"/>
        <w:rPr>
          <w:rFonts w:ascii="仿宋" w:hAnsi="仿宋" w:eastAsia="仿宋" w:cs="仿宋"/>
          <w:b/>
          <w:bCs/>
          <w:color w:val="auto"/>
          <w:sz w:val="24"/>
          <w:highlight w:val="none"/>
        </w:rPr>
      </w:pPr>
    </w:p>
    <w:p>
      <w:pPr>
        <w:spacing w:line="46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本公司在此郑重声明：</w:t>
      </w:r>
    </w:p>
    <w:p>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1.本公司是有良好的商业信誉和健全的财务会计制度的；</w:t>
      </w:r>
    </w:p>
    <w:p>
      <w:pPr>
        <w:tabs>
          <w:tab w:val="left" w:pos="90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2.本公司是</w:t>
      </w:r>
      <w:r>
        <w:rPr>
          <w:rFonts w:hint="eastAsia" w:ascii="仿宋" w:hAnsi="仿宋" w:eastAsia="仿宋" w:cs="仿宋"/>
          <w:color w:val="auto"/>
          <w:sz w:val="24"/>
          <w:highlight w:val="none"/>
        </w:rPr>
        <w:t>资产运营良好，不存在因借贷、担保等可能影响履行本招标项目的情况，具有良好的经营业绩，有提供优质服务的能力；</w:t>
      </w:r>
    </w:p>
    <w:p>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3.本公司是具有履行合同所必需的设备和专业技术能力的；</w:t>
      </w:r>
    </w:p>
    <w:p>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4.本公司是依法缴纳税收和社会保障资金的；</w:t>
      </w:r>
    </w:p>
    <w:p>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5.本公司参加招标活动前二年内，在经营活动中无重大违法记录，无不良行为记录，无其他法律、行政法规规定的禁止参与招投标活动的行为；</w:t>
      </w:r>
    </w:p>
    <w:p>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6.本公司知晓并遵守：单位负责人为同一人或者存在直接控股、管理关系的不同供应商，不得参加同一合同项下的采购活动；</w:t>
      </w:r>
    </w:p>
    <w:p>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7.本公司与采购人不存在利害关系；</w:t>
      </w:r>
    </w:p>
    <w:p>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8.本公司提交的响应文件中所有关于供应商资格的文件、证明和陈述均是真实的、准确的。</w:t>
      </w:r>
    </w:p>
    <w:p>
      <w:pPr>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若与真实情况不符，本公司愿意承担由此而产生的一切后果。</w:t>
      </w:r>
    </w:p>
    <w:p>
      <w:pPr>
        <w:spacing w:line="460" w:lineRule="exact"/>
        <w:rPr>
          <w:rFonts w:ascii="仿宋" w:hAnsi="仿宋" w:eastAsia="仿宋" w:cs="仿宋"/>
          <w:bCs/>
          <w:color w:val="auto"/>
          <w:sz w:val="24"/>
          <w:highlight w:val="none"/>
        </w:rPr>
      </w:pPr>
    </w:p>
    <w:p>
      <w:pPr>
        <w:spacing w:line="460" w:lineRule="exact"/>
        <w:rPr>
          <w:rFonts w:ascii="仿宋" w:hAnsi="仿宋" w:eastAsia="仿宋" w:cs="仿宋"/>
          <w:bCs/>
          <w:color w:val="auto"/>
          <w:sz w:val="24"/>
          <w:highlight w:val="none"/>
        </w:rPr>
      </w:pPr>
    </w:p>
    <w:p>
      <w:pPr>
        <w:spacing w:line="46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 xml:space="preserve">        法定代表人或</w:t>
      </w:r>
      <w:r>
        <w:rPr>
          <w:rFonts w:hint="eastAsia" w:ascii="仿宋" w:hAnsi="仿宋" w:eastAsia="仿宋" w:cs="仿宋"/>
          <w:color w:val="auto"/>
          <w:sz w:val="24"/>
          <w:highlight w:val="none"/>
        </w:rPr>
        <w:t>授权</w:t>
      </w:r>
      <w:r>
        <w:rPr>
          <w:rFonts w:hint="eastAsia" w:ascii="仿宋" w:hAnsi="仿宋" w:eastAsia="仿宋" w:cs="仿宋"/>
          <w:bCs/>
          <w:color w:val="auto"/>
          <w:sz w:val="24"/>
          <w:highlight w:val="none"/>
        </w:rPr>
        <w:t>代理人（签字或盖章）：</w:t>
      </w:r>
    </w:p>
    <w:p>
      <w:pPr>
        <w:spacing w:line="46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供应商名称（盖章）：</w:t>
      </w:r>
    </w:p>
    <w:p>
      <w:pPr>
        <w:spacing w:line="460" w:lineRule="exact"/>
        <w:rPr>
          <w:rFonts w:ascii="仿宋" w:hAnsi="仿宋" w:eastAsia="仿宋" w:cs="仿宋"/>
          <w:bCs/>
          <w:color w:val="auto"/>
          <w:sz w:val="24"/>
          <w:highlight w:val="none"/>
        </w:rPr>
      </w:pPr>
    </w:p>
    <w:p>
      <w:pPr>
        <w:spacing w:line="460" w:lineRule="exact"/>
        <w:jc w:val="right"/>
        <w:rPr>
          <w:rFonts w:ascii="仿宋" w:hAnsi="仿宋" w:eastAsia="仿宋" w:cs="仿宋"/>
          <w:bCs/>
          <w:color w:val="auto"/>
          <w:sz w:val="24"/>
          <w:highlight w:val="none"/>
        </w:rPr>
      </w:pP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 xml:space="preserve"> 月 </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日</w:t>
      </w:r>
    </w:p>
    <w:p>
      <w:pPr>
        <w:spacing w:line="460" w:lineRule="exact"/>
        <w:rPr>
          <w:rFonts w:ascii="仿宋" w:hAnsi="仿宋" w:eastAsia="仿宋" w:cs="仿宋"/>
          <w:bCs/>
          <w:color w:val="auto"/>
          <w:sz w:val="24"/>
          <w:highlight w:val="none"/>
        </w:rPr>
      </w:pPr>
    </w:p>
    <w:p>
      <w:pPr>
        <w:spacing w:line="46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p>
    <w:p>
      <w:pPr>
        <w:spacing w:line="460" w:lineRule="exact"/>
        <w:rPr>
          <w:rFonts w:ascii="仿宋" w:hAnsi="仿宋" w:eastAsia="仿宋" w:cs="仿宋"/>
          <w:bCs/>
          <w:color w:val="auto"/>
          <w:sz w:val="24"/>
          <w:highlight w:val="none"/>
        </w:rPr>
      </w:pPr>
    </w:p>
    <w:p>
      <w:pPr>
        <w:spacing w:line="460" w:lineRule="exact"/>
        <w:rPr>
          <w:rFonts w:ascii="仿宋" w:hAnsi="仿宋" w:eastAsia="仿宋" w:cs="仿宋"/>
          <w:bCs/>
          <w:color w:val="auto"/>
          <w:sz w:val="24"/>
          <w:highlight w:val="none"/>
        </w:rPr>
      </w:pPr>
    </w:p>
    <w:p>
      <w:pPr>
        <w:spacing w:line="460" w:lineRule="exact"/>
        <w:rPr>
          <w:rFonts w:ascii="仿宋" w:hAnsi="仿宋" w:eastAsia="仿宋" w:cs="仿宋"/>
          <w:bCs/>
          <w:color w:val="auto"/>
          <w:sz w:val="24"/>
          <w:highlight w:val="none"/>
        </w:rPr>
      </w:pPr>
    </w:p>
    <w:p>
      <w:pPr>
        <w:spacing w:line="460" w:lineRule="exact"/>
        <w:rPr>
          <w:rFonts w:ascii="仿宋" w:hAnsi="仿宋" w:eastAsia="仿宋" w:cs="仿宋"/>
          <w:bCs/>
          <w:color w:val="auto"/>
          <w:sz w:val="24"/>
          <w:highlight w:val="none"/>
        </w:rPr>
      </w:pPr>
    </w:p>
    <w:p>
      <w:pPr>
        <w:pStyle w:val="5"/>
        <w:jc w:val="both"/>
        <w:rPr>
          <w:rFonts w:ascii="仿宋" w:hAnsi="仿宋" w:eastAsia="仿宋" w:cs="仿宋"/>
          <w:color w:val="auto"/>
          <w:sz w:val="36"/>
          <w:szCs w:val="36"/>
          <w:highlight w:val="none"/>
        </w:rPr>
      </w:pPr>
      <w:r>
        <w:rPr>
          <w:rFonts w:hint="eastAsia" w:ascii="仿宋" w:hAnsi="仿宋" w:eastAsia="仿宋" w:cs="仿宋"/>
          <w:color w:val="auto"/>
          <w:kern w:val="2"/>
          <w:szCs w:val="21"/>
          <w:highlight w:val="none"/>
          <w:u w:val="none"/>
        </w:rPr>
        <w:t>附件3：</w:t>
      </w:r>
    </w:p>
    <w:p>
      <w:pPr>
        <w:pStyle w:val="5"/>
        <w:jc w:val="center"/>
        <w:rPr>
          <w:rFonts w:ascii="仿宋" w:hAnsi="仿宋" w:eastAsia="仿宋" w:cs="仿宋"/>
          <w:bCs/>
          <w:color w:val="auto"/>
          <w:kern w:val="2"/>
          <w:sz w:val="36"/>
          <w:szCs w:val="22"/>
          <w:highlight w:val="none"/>
          <w:u w:val="none"/>
        </w:rPr>
      </w:pPr>
      <w:r>
        <w:rPr>
          <w:rFonts w:hint="eastAsia" w:ascii="仿宋" w:hAnsi="仿宋" w:eastAsia="仿宋" w:cs="仿宋"/>
          <w:bCs/>
          <w:color w:val="auto"/>
          <w:kern w:val="2"/>
          <w:sz w:val="36"/>
          <w:szCs w:val="22"/>
          <w:highlight w:val="none"/>
          <w:u w:val="none"/>
        </w:rPr>
        <w:t>响 应 函</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致：常州中宇建设工程管理有限公司</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我公司收到贵单位的竞争性磋商文件，经仔细阅读和研究，我公司决定参加项目编号：ZYJS-SC2024063项目的竞争性磋商活动。据此函，我公司兹宣布同意如下：</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1、按竞争性磋商文件规定的各项要求，向采购人提供所需服务。</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2、如果我们的响应文件被接受，我们将严格履行竞争性磋商文件中规定的每一项要求，按期、按质、按量履行合同的义务。</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3、我们已详细审查全部竞争性磋商文件，包括补充文件(如果有的话)，我们同意放弃提出含糊不清或误解问题的权利。</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4、我们同意从规定的开标日期起遵循本响应文件，并在规定的投标有效期期满之前均具有约束力。</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5、我们愿意提供采购人在竞争性磋商文件中要求的所有资料及贵方可能另外要求的与投标有关的任何证据或资料，并保证我方已提供和将要提供的文件是真实的、准确的。</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6、我们愿意遵守竞争性磋商文件中所列的服务费收费标准。</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8、如果我们成交，我们愿意按竞争性磋商文件的规定支付成交服务费。</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9、如果我方成交,我方将根据竞争性磋商文件的规定，严格履行合同的责任和义务,并保证在竞争性磋商文件规定的时间完成项目，交付采购人验收、使用。</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10.与本投标有关的正式通讯地址为：</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地    址：                             邮    编：</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电    话：                             传    真：</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供应商开户行：</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 xml:space="preserve">账    户： </w:t>
      </w:r>
    </w:p>
    <w:p>
      <w:pPr>
        <w:pStyle w:val="62"/>
        <w:spacing w:before="0" w:after="0" w:line="420" w:lineRule="exact"/>
        <w:ind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纳税人识别号：</w:t>
      </w:r>
    </w:p>
    <w:p>
      <w:pPr>
        <w:rPr>
          <w:rFonts w:ascii="仿宋" w:hAnsi="仿宋" w:eastAsia="仿宋" w:cs="仿宋"/>
          <w:bCs/>
          <w:color w:val="auto"/>
          <w:szCs w:val="21"/>
          <w:highlight w:val="none"/>
        </w:rPr>
      </w:pPr>
      <w:r>
        <w:rPr>
          <w:rFonts w:hint="eastAsia" w:ascii="仿宋" w:hAnsi="仿宋" w:eastAsia="仿宋" w:cs="仿宋"/>
          <w:color w:val="auto"/>
          <w:sz w:val="36"/>
          <w:szCs w:val="36"/>
          <w:highlight w:val="none"/>
        </w:rPr>
        <w:br w:type="page"/>
      </w:r>
      <w:r>
        <w:rPr>
          <w:rFonts w:hint="eastAsia" w:ascii="仿宋" w:hAnsi="仿宋" w:eastAsia="仿宋" w:cs="仿宋"/>
          <w:b/>
          <w:bCs/>
          <w:color w:val="auto"/>
          <w:szCs w:val="21"/>
          <w:highlight w:val="none"/>
        </w:rPr>
        <w:t>附件4：</w:t>
      </w:r>
    </w:p>
    <w:p>
      <w:pPr>
        <w:pStyle w:val="5"/>
        <w:ind w:firstLine="723"/>
        <w:jc w:val="center"/>
        <w:rPr>
          <w:rFonts w:ascii="仿宋" w:hAnsi="仿宋" w:eastAsia="仿宋" w:cs="仿宋"/>
          <w:color w:val="auto"/>
          <w:kern w:val="2"/>
          <w:sz w:val="36"/>
          <w:szCs w:val="22"/>
          <w:highlight w:val="none"/>
          <w:u w:val="none"/>
        </w:rPr>
      </w:pPr>
      <w:r>
        <w:rPr>
          <w:rFonts w:hint="eastAsia" w:ascii="仿宋" w:hAnsi="仿宋" w:eastAsia="仿宋" w:cs="仿宋"/>
          <w:color w:val="auto"/>
          <w:kern w:val="2"/>
          <w:sz w:val="36"/>
          <w:szCs w:val="22"/>
          <w:highlight w:val="none"/>
          <w:u w:val="none"/>
        </w:rPr>
        <w:t>供 应 商 情 况 表</w:t>
      </w:r>
    </w:p>
    <w:p>
      <w:pPr>
        <w:pStyle w:val="7"/>
        <w:overflowPunct w:val="0"/>
        <w:ind w:firstLine="480"/>
        <w:rPr>
          <w:rFonts w:ascii="仿宋" w:hAnsi="仿宋" w:eastAsia="仿宋" w:cs="仿宋"/>
          <w:color w:val="auto"/>
          <w:highlight w:val="none"/>
        </w:rPr>
      </w:pPr>
      <w:r>
        <w:rPr>
          <w:rFonts w:hint="eastAsia" w:ascii="仿宋" w:hAnsi="仿宋" w:eastAsia="仿宋" w:cs="仿宋"/>
          <w:color w:val="auto"/>
          <w:highlight w:val="none"/>
        </w:rPr>
        <w:t>供应商（盖章）：</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2005"/>
        <w:gridCol w:w="1461"/>
        <w:gridCol w:w="25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2510" w:type="dxa"/>
            <w:vAlign w:val="center"/>
          </w:tcPr>
          <w:p>
            <w:pPr>
              <w:pStyle w:val="7"/>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2005" w:type="dxa"/>
            <w:vAlign w:val="center"/>
          </w:tcPr>
          <w:p>
            <w:pPr>
              <w:pStyle w:val="7"/>
              <w:overflowPunct w:val="0"/>
              <w:ind w:firstLine="480"/>
              <w:jc w:val="both"/>
              <w:rPr>
                <w:rFonts w:ascii="仿宋" w:hAnsi="仿宋" w:eastAsia="仿宋" w:cs="仿宋"/>
                <w:color w:val="auto"/>
                <w:highlight w:val="none"/>
              </w:rPr>
            </w:pPr>
          </w:p>
        </w:tc>
        <w:tc>
          <w:tcPr>
            <w:tcW w:w="1461" w:type="dxa"/>
            <w:vAlign w:val="center"/>
          </w:tcPr>
          <w:p>
            <w:pPr>
              <w:pStyle w:val="7"/>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成立日期</w:t>
            </w:r>
          </w:p>
        </w:tc>
        <w:tc>
          <w:tcPr>
            <w:tcW w:w="2529" w:type="dxa"/>
            <w:vAlign w:val="center"/>
          </w:tcPr>
          <w:p>
            <w:pPr>
              <w:pStyle w:val="7"/>
              <w:overflowPunct w:val="0"/>
              <w:ind w:firstLine="480"/>
              <w:jc w:val="both"/>
              <w:rPr>
                <w:rFonts w:ascii="仿宋" w:hAnsi="仿宋" w:eastAsia="仿宋" w:cs="仿宋"/>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pPr>
              <w:pStyle w:val="7"/>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企业地址</w:t>
            </w:r>
          </w:p>
        </w:tc>
        <w:tc>
          <w:tcPr>
            <w:tcW w:w="2005" w:type="dxa"/>
            <w:vAlign w:val="center"/>
          </w:tcPr>
          <w:p>
            <w:pPr>
              <w:pStyle w:val="7"/>
              <w:overflowPunct w:val="0"/>
              <w:ind w:firstLine="480"/>
              <w:jc w:val="both"/>
              <w:rPr>
                <w:rFonts w:ascii="仿宋" w:hAnsi="仿宋" w:eastAsia="仿宋" w:cs="仿宋"/>
                <w:color w:val="auto"/>
                <w:highlight w:val="none"/>
              </w:rPr>
            </w:pPr>
          </w:p>
        </w:tc>
        <w:tc>
          <w:tcPr>
            <w:tcW w:w="1461" w:type="dxa"/>
            <w:vAlign w:val="center"/>
          </w:tcPr>
          <w:p>
            <w:pPr>
              <w:pStyle w:val="7"/>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注册资本</w:t>
            </w:r>
          </w:p>
        </w:tc>
        <w:tc>
          <w:tcPr>
            <w:tcW w:w="2529" w:type="dxa"/>
            <w:vAlign w:val="center"/>
          </w:tcPr>
          <w:p>
            <w:pPr>
              <w:pStyle w:val="7"/>
              <w:overflowPunct w:val="0"/>
              <w:ind w:firstLine="600" w:firstLineChars="250"/>
              <w:jc w:val="both"/>
              <w:rPr>
                <w:rFonts w:ascii="仿宋" w:hAnsi="仿宋" w:eastAsia="仿宋" w:cs="仿宋"/>
                <w:color w:val="auto"/>
                <w:highlight w:val="none"/>
              </w:rPr>
            </w:pPr>
            <w:r>
              <w:rPr>
                <w:rFonts w:hint="eastAsia" w:ascii="仿宋" w:hAnsi="仿宋" w:eastAsia="仿宋" w:cs="仿宋"/>
                <w:color w:val="auto"/>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pPr>
              <w:pStyle w:val="7"/>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经营范围</w:t>
            </w:r>
          </w:p>
        </w:tc>
        <w:tc>
          <w:tcPr>
            <w:tcW w:w="5995" w:type="dxa"/>
            <w:gridSpan w:val="3"/>
            <w:vAlign w:val="center"/>
          </w:tcPr>
          <w:p>
            <w:pPr>
              <w:pStyle w:val="7"/>
              <w:overflowPunct w:val="0"/>
              <w:ind w:firstLine="480"/>
              <w:jc w:val="both"/>
              <w:rPr>
                <w:rFonts w:ascii="仿宋" w:hAnsi="仿宋" w:eastAsia="仿宋" w:cs="仿宋"/>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2510" w:type="dxa"/>
            <w:vAlign w:val="center"/>
          </w:tcPr>
          <w:p>
            <w:pPr>
              <w:pStyle w:val="7"/>
              <w:overflowPunct w:val="0"/>
              <w:autoSpaceDE/>
              <w:autoSpaceDN/>
              <w:adjustRightInd/>
              <w:spacing w:line="360" w:lineRule="auto"/>
              <w:ind w:firstLine="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营业面积（含厂房）</w:t>
            </w:r>
          </w:p>
        </w:tc>
        <w:tc>
          <w:tcPr>
            <w:tcW w:w="5995" w:type="dxa"/>
            <w:gridSpan w:val="3"/>
            <w:vAlign w:val="center"/>
          </w:tcPr>
          <w:p>
            <w:pPr>
              <w:pStyle w:val="7"/>
              <w:overflowPunct w:val="0"/>
              <w:ind w:firstLine="480"/>
              <w:jc w:val="both"/>
              <w:rPr>
                <w:rFonts w:ascii="仿宋" w:hAnsi="仿宋" w:eastAsia="仿宋" w:cs="仿宋"/>
                <w:color w:val="auto"/>
                <w:highlight w:val="none"/>
              </w:rPr>
            </w:pPr>
            <w:r>
              <w:rPr>
                <w:rFonts w:hint="eastAsia" w:ascii="仿宋" w:hAnsi="仿宋" w:eastAsia="仿宋" w:cs="仿宋"/>
                <w:color w:val="auto"/>
                <w:highlight w:val="none"/>
              </w:rPr>
              <w:t xml:space="preserve">             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7" w:hRule="atLeast"/>
          <w:jc w:val="center"/>
        </w:trPr>
        <w:tc>
          <w:tcPr>
            <w:tcW w:w="2510" w:type="dxa"/>
            <w:vAlign w:val="center"/>
          </w:tcPr>
          <w:p>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单位简历及内设机构情况</w:t>
            </w:r>
          </w:p>
        </w:tc>
        <w:tc>
          <w:tcPr>
            <w:tcW w:w="5995" w:type="dxa"/>
            <w:gridSpan w:val="3"/>
            <w:vAlign w:val="center"/>
          </w:tcPr>
          <w:p>
            <w:pPr>
              <w:pStyle w:val="7"/>
              <w:overflowPunct w:val="0"/>
              <w:ind w:firstLine="480"/>
              <w:jc w:val="both"/>
              <w:rPr>
                <w:rFonts w:ascii="仿宋" w:hAnsi="仿宋" w:eastAsia="仿宋" w:cs="仿宋"/>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0" w:hRule="atLeast"/>
          <w:jc w:val="center"/>
        </w:trPr>
        <w:tc>
          <w:tcPr>
            <w:tcW w:w="2510" w:type="dxa"/>
            <w:vAlign w:val="center"/>
          </w:tcPr>
          <w:p>
            <w:pPr>
              <w:pStyle w:val="7"/>
              <w:overflowPunct w:val="0"/>
              <w:autoSpaceDE/>
              <w:autoSpaceDN/>
              <w:adjustRightInd/>
              <w:spacing w:line="360" w:lineRule="auto"/>
              <w:ind w:firstLine="0"/>
              <w:jc w:val="both"/>
              <w:rPr>
                <w:rFonts w:ascii="仿宋" w:hAnsi="仿宋" w:eastAsia="仿宋" w:cs="仿宋"/>
                <w:color w:val="auto"/>
                <w:szCs w:val="21"/>
                <w:highlight w:val="none"/>
              </w:rPr>
            </w:pPr>
          </w:p>
          <w:p>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单位优势及特长</w:t>
            </w:r>
          </w:p>
          <w:p>
            <w:pPr>
              <w:pStyle w:val="7"/>
              <w:overflowPunct w:val="0"/>
              <w:autoSpaceDE/>
              <w:autoSpaceDN/>
              <w:adjustRightInd/>
              <w:spacing w:line="360" w:lineRule="auto"/>
              <w:ind w:firstLine="0"/>
              <w:jc w:val="both"/>
              <w:rPr>
                <w:rFonts w:ascii="仿宋" w:hAnsi="仿宋" w:eastAsia="仿宋" w:cs="仿宋"/>
                <w:color w:val="auto"/>
                <w:szCs w:val="21"/>
                <w:highlight w:val="none"/>
              </w:rPr>
            </w:pPr>
          </w:p>
        </w:tc>
        <w:tc>
          <w:tcPr>
            <w:tcW w:w="5995" w:type="dxa"/>
            <w:gridSpan w:val="3"/>
            <w:vAlign w:val="center"/>
          </w:tcPr>
          <w:p>
            <w:pPr>
              <w:pStyle w:val="7"/>
              <w:overflowPunct w:val="0"/>
              <w:ind w:firstLine="480"/>
              <w:jc w:val="both"/>
              <w:rPr>
                <w:rFonts w:ascii="仿宋" w:hAnsi="仿宋" w:eastAsia="仿宋" w:cs="仿宋"/>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510" w:type="dxa"/>
            <w:vAlign w:val="center"/>
          </w:tcPr>
          <w:p>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近三年来完成或正在履行的重大合同情况</w:t>
            </w:r>
          </w:p>
        </w:tc>
        <w:tc>
          <w:tcPr>
            <w:tcW w:w="5995" w:type="dxa"/>
            <w:gridSpan w:val="3"/>
            <w:vAlign w:val="center"/>
          </w:tcPr>
          <w:p>
            <w:pPr>
              <w:pStyle w:val="7"/>
              <w:overflowPunct w:val="0"/>
              <w:ind w:firstLine="480"/>
              <w:jc w:val="both"/>
              <w:rPr>
                <w:rFonts w:ascii="仿宋" w:hAnsi="仿宋" w:eastAsia="仿宋" w:cs="仿宋"/>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3" w:hRule="atLeast"/>
          <w:jc w:val="center"/>
        </w:trPr>
        <w:tc>
          <w:tcPr>
            <w:tcW w:w="2510" w:type="dxa"/>
            <w:vAlign w:val="center"/>
          </w:tcPr>
          <w:p>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最近2年内在经营过程中受到何种奖励或处分</w:t>
            </w:r>
          </w:p>
        </w:tc>
        <w:tc>
          <w:tcPr>
            <w:tcW w:w="5995" w:type="dxa"/>
            <w:gridSpan w:val="3"/>
          </w:tcPr>
          <w:p>
            <w:pPr>
              <w:pStyle w:val="7"/>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17" w:hRule="atLeast"/>
          <w:jc w:val="center"/>
        </w:trPr>
        <w:tc>
          <w:tcPr>
            <w:tcW w:w="2510" w:type="dxa"/>
            <w:vAlign w:val="center"/>
          </w:tcPr>
          <w:p>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最近3年内有无因售假、售劣或是其他原因被消费者投诉或起诉的情况及说明</w:t>
            </w:r>
          </w:p>
        </w:tc>
        <w:tc>
          <w:tcPr>
            <w:tcW w:w="5995" w:type="dxa"/>
            <w:gridSpan w:val="3"/>
          </w:tcPr>
          <w:p>
            <w:pPr>
              <w:pStyle w:val="7"/>
              <w:overflowPunct w:val="0"/>
              <w:ind w:firstLine="0"/>
              <w:jc w:val="both"/>
              <w:rPr>
                <w:rFonts w:ascii="仿宋" w:hAnsi="仿宋" w:eastAsia="仿宋" w:cs="仿宋"/>
                <w:color w:val="auto"/>
                <w:highlight w:val="none"/>
              </w:rPr>
            </w:pPr>
            <w:r>
              <w:rPr>
                <w:rFonts w:hint="eastAsia" w:ascii="仿宋" w:hAnsi="仿宋" w:eastAsia="仿宋" w:cs="仿宋"/>
                <w:color w:val="auto"/>
                <w:highlight w:val="none"/>
              </w:rPr>
              <w:t>（包括解决方式和结果）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2510" w:type="dxa"/>
            <w:vAlign w:val="center"/>
          </w:tcPr>
          <w:p>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最近3年内主要负责人有无因经济犯罪被司法机关追究的情况及说明</w:t>
            </w:r>
          </w:p>
        </w:tc>
        <w:tc>
          <w:tcPr>
            <w:tcW w:w="5995" w:type="dxa"/>
            <w:gridSpan w:val="3"/>
            <w:vAlign w:val="center"/>
          </w:tcPr>
          <w:p>
            <w:pPr>
              <w:pStyle w:val="7"/>
              <w:overflowPunct w:val="0"/>
              <w:ind w:firstLine="480"/>
              <w:jc w:val="both"/>
              <w:rPr>
                <w:rFonts w:ascii="仿宋" w:hAnsi="仿宋" w:eastAsia="仿宋" w:cs="仿宋"/>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2510" w:type="dxa"/>
            <w:vAlign w:val="center"/>
          </w:tcPr>
          <w:p>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获得技术认证的工程师及简介</w:t>
            </w:r>
          </w:p>
        </w:tc>
        <w:tc>
          <w:tcPr>
            <w:tcW w:w="5995" w:type="dxa"/>
            <w:gridSpan w:val="3"/>
            <w:vAlign w:val="center"/>
          </w:tcPr>
          <w:p>
            <w:pPr>
              <w:pStyle w:val="7"/>
              <w:overflowPunct w:val="0"/>
              <w:ind w:firstLine="480"/>
              <w:jc w:val="both"/>
              <w:rPr>
                <w:rFonts w:ascii="仿宋" w:hAnsi="仿宋" w:eastAsia="仿宋" w:cs="仿宋"/>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510" w:type="dxa"/>
            <w:vAlign w:val="center"/>
          </w:tcPr>
          <w:p>
            <w:pPr>
              <w:pStyle w:val="7"/>
              <w:overflowPunct w:val="0"/>
              <w:autoSpaceDE/>
              <w:autoSpaceDN/>
              <w:adjustRightInd/>
              <w:spacing w:line="360" w:lineRule="auto"/>
              <w:ind w:firstLine="0"/>
              <w:jc w:val="both"/>
              <w:rPr>
                <w:rFonts w:ascii="仿宋" w:hAnsi="仿宋" w:eastAsia="仿宋" w:cs="仿宋"/>
                <w:color w:val="auto"/>
                <w:szCs w:val="21"/>
                <w:highlight w:val="none"/>
              </w:rPr>
            </w:pPr>
            <w:r>
              <w:rPr>
                <w:rFonts w:hint="eastAsia" w:ascii="仿宋" w:hAnsi="仿宋" w:eastAsia="仿宋" w:cs="仿宋"/>
                <w:color w:val="auto"/>
                <w:szCs w:val="21"/>
                <w:highlight w:val="none"/>
              </w:rPr>
              <w:t>其他需要说明的情况</w:t>
            </w:r>
          </w:p>
        </w:tc>
        <w:tc>
          <w:tcPr>
            <w:tcW w:w="5995" w:type="dxa"/>
            <w:gridSpan w:val="3"/>
            <w:vAlign w:val="center"/>
          </w:tcPr>
          <w:p>
            <w:pPr>
              <w:pStyle w:val="7"/>
              <w:overflowPunct w:val="0"/>
              <w:ind w:firstLine="480"/>
              <w:jc w:val="both"/>
              <w:rPr>
                <w:rFonts w:ascii="仿宋" w:hAnsi="仿宋" w:eastAsia="仿宋" w:cs="仿宋"/>
                <w:color w:val="auto"/>
                <w:highlight w:val="none"/>
              </w:rPr>
            </w:pPr>
          </w:p>
        </w:tc>
      </w:tr>
    </w:tbl>
    <w:p>
      <w:pPr>
        <w:pStyle w:val="5"/>
        <w:rPr>
          <w:rFonts w:ascii="仿宋" w:hAnsi="仿宋" w:eastAsia="仿宋" w:cs="仿宋"/>
          <w:bCs/>
          <w:color w:val="auto"/>
          <w:kern w:val="2"/>
          <w:szCs w:val="21"/>
          <w:highlight w:val="none"/>
          <w:u w:val="none"/>
        </w:rPr>
      </w:pPr>
      <w:r>
        <w:rPr>
          <w:rFonts w:hint="eastAsia" w:ascii="仿宋" w:hAnsi="仿宋" w:eastAsia="仿宋" w:cs="仿宋"/>
          <w:bCs/>
          <w:color w:val="auto"/>
          <w:kern w:val="2"/>
          <w:szCs w:val="21"/>
          <w:highlight w:val="none"/>
          <w:u w:val="none"/>
        </w:rPr>
        <w:t>附件5：</w:t>
      </w:r>
    </w:p>
    <w:p>
      <w:pPr>
        <w:pStyle w:val="5"/>
        <w:ind w:firstLine="723"/>
        <w:jc w:val="center"/>
        <w:rPr>
          <w:rFonts w:ascii="仿宋" w:hAnsi="仿宋" w:eastAsia="仿宋" w:cs="仿宋"/>
          <w:bCs/>
          <w:color w:val="auto"/>
          <w:kern w:val="2"/>
          <w:sz w:val="36"/>
          <w:szCs w:val="22"/>
          <w:highlight w:val="none"/>
          <w:u w:val="none"/>
        </w:rPr>
      </w:pPr>
      <w:r>
        <w:rPr>
          <w:rFonts w:hint="eastAsia" w:ascii="仿宋" w:hAnsi="仿宋" w:eastAsia="仿宋" w:cs="仿宋"/>
          <w:bCs/>
          <w:color w:val="auto"/>
          <w:kern w:val="2"/>
          <w:sz w:val="36"/>
          <w:szCs w:val="22"/>
          <w:highlight w:val="none"/>
          <w:u w:val="none"/>
        </w:rPr>
        <w:t>报价一览表</w:t>
      </w:r>
      <w:r>
        <w:rPr>
          <w:rFonts w:hint="eastAsia" w:ascii="仿宋" w:hAnsi="仿宋" w:eastAsia="仿宋" w:cs="仿宋"/>
          <w:bCs/>
          <w:color w:val="auto"/>
          <w:sz w:val="36"/>
          <w:szCs w:val="22"/>
          <w:highlight w:val="none"/>
          <w:u w:val="none"/>
        </w:rPr>
        <w:t>（标包：  ）</w:t>
      </w:r>
    </w:p>
    <w:p>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供应商（加盖公章）：</w:t>
      </w:r>
    </w:p>
    <w:p>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项目名称：关于2024年政府项目前期国土咨询调查服务项目</w:t>
      </w:r>
    </w:p>
    <w:p>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项目编号：ZYJS-SC2024063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line="360" w:lineRule="auto"/>
              <w:jc w:val="center"/>
              <w:rPr>
                <w:rFonts w:ascii="仿宋" w:hAnsi="仿宋" w:eastAsia="仿宋" w:cs="仿宋"/>
                <w:color w:val="auto"/>
                <w:highlight w:val="none"/>
              </w:rPr>
            </w:pPr>
            <w:r>
              <w:rPr>
                <w:rFonts w:hint="eastAsia" w:ascii="仿宋" w:hAnsi="仿宋" w:eastAsia="仿宋" w:cs="仿宋"/>
                <w:color w:val="auto"/>
                <w:szCs w:val="24"/>
                <w:highlight w:val="none"/>
              </w:rPr>
              <w:t xml:space="preserve">   响应报价</w:t>
            </w:r>
            <w:r>
              <w:rPr>
                <w:rFonts w:hint="eastAsia" w:ascii="仿宋" w:hAnsi="仿宋" w:eastAsia="仿宋" w:cs="仿宋"/>
                <w:b/>
                <w:bCs/>
                <w:color w:val="auto"/>
                <w:szCs w:val="24"/>
                <w:highlight w:val="none"/>
              </w:rPr>
              <w:t>（每项目）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10"/>
              <w:snapToGrid w:val="0"/>
              <w:ind w:left="240" w:hanging="240" w:hangingChars="100"/>
              <w:rPr>
                <w:rFonts w:ascii="仿宋" w:hAnsi="仿宋" w:eastAsia="仿宋" w:cs="仿宋"/>
                <w:color w:val="auto"/>
                <w:highlight w:val="none"/>
              </w:rPr>
            </w:pPr>
            <w:r>
              <w:rPr>
                <w:rFonts w:hint="eastAsia" w:ascii="仿宋" w:hAnsi="仿宋" w:eastAsia="仿宋" w:cs="仿宋"/>
                <w:color w:val="auto"/>
                <w:highlight w:val="none"/>
              </w:rPr>
              <w:t>报价单价（小写）：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元/项目         </w:t>
            </w:r>
          </w:p>
          <w:p>
            <w:pPr>
              <w:pStyle w:val="10"/>
              <w:snapToGrid w:val="0"/>
              <w:ind w:left="240" w:hanging="240" w:hangingChars="100"/>
              <w:rPr>
                <w:rFonts w:ascii="仿宋" w:hAnsi="仿宋" w:eastAsia="仿宋" w:cs="仿宋"/>
                <w:color w:val="auto"/>
                <w:highlight w:val="none"/>
              </w:rPr>
            </w:pPr>
            <w:r>
              <w:rPr>
                <w:rFonts w:hint="eastAsia" w:ascii="仿宋" w:hAnsi="仿宋" w:eastAsia="仿宋" w:cs="仿宋"/>
                <w:color w:val="auto"/>
                <w:highlight w:val="none"/>
              </w:rPr>
              <w:t>报价单价（大写）：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元/项目；其中含增值税税率</w:t>
            </w:r>
            <w:r>
              <w:rPr>
                <w:rFonts w:hint="eastAsia" w:ascii="仿宋" w:hAnsi="仿宋" w:eastAsia="仿宋" w:cs="仿宋"/>
                <w:color w:val="auto"/>
                <w:highlight w:val="none"/>
                <w:u w:val="single"/>
              </w:rPr>
              <w:t xml:space="preserve"> </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w:t>
            </w:r>
          </w:p>
        </w:tc>
      </w:tr>
    </w:tbl>
    <w:p>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法定代表人或授权代理人（签字或盖章）：</w:t>
      </w:r>
    </w:p>
    <w:p>
      <w:pPr>
        <w:rPr>
          <w:rFonts w:ascii="仿宋" w:hAnsi="仿宋" w:eastAsia="仿宋" w:cs="仿宋"/>
          <w:color w:val="auto"/>
          <w:sz w:val="24"/>
          <w:highlight w:val="none"/>
        </w:rPr>
      </w:pPr>
    </w:p>
    <w:p>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注：</w:t>
      </w:r>
    </w:p>
    <w:p>
      <w:pPr>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iCs/>
          <w:color w:val="auto"/>
          <w:sz w:val="24"/>
          <w:highlight w:val="none"/>
        </w:rPr>
        <w:t>报价一览表必须加盖供应商公章，由法定代表人或授权代理人签字或盖章（复印件无效）</w:t>
      </w:r>
      <w:r>
        <w:rPr>
          <w:rFonts w:hint="eastAsia" w:ascii="仿宋" w:hAnsi="仿宋" w:eastAsia="仿宋" w:cs="仿宋"/>
          <w:color w:val="auto"/>
          <w:sz w:val="24"/>
          <w:highlight w:val="none"/>
        </w:rPr>
        <w:t>。</w:t>
      </w:r>
    </w:p>
    <w:p>
      <w:pPr>
        <w:rPr>
          <w:rFonts w:ascii="仿宋" w:hAnsi="仿宋" w:eastAsia="仿宋" w:cs="仿宋"/>
          <w:b/>
          <w:bCs/>
          <w:color w:val="auto"/>
          <w:sz w:val="24"/>
          <w:highlight w:val="none"/>
        </w:rPr>
      </w:pPr>
      <w:r>
        <w:rPr>
          <w:rFonts w:hint="eastAsia" w:ascii="仿宋" w:hAnsi="仿宋" w:eastAsia="仿宋" w:cs="仿宋"/>
          <w:b/>
          <w:bCs/>
          <w:color w:val="auto"/>
          <w:sz w:val="24"/>
          <w:highlight w:val="none"/>
        </w:rPr>
        <w:t>2.具体项目实施时由采购人按项目分别出具委托单。</w:t>
      </w:r>
    </w:p>
    <w:p>
      <w:pPr>
        <w:pStyle w:val="5"/>
        <w:ind w:firstLine="200"/>
        <w:jc w:val="center"/>
        <w:rPr>
          <w:rFonts w:ascii="仿宋" w:hAnsi="仿宋" w:eastAsia="仿宋" w:cs="仿宋"/>
          <w:bCs/>
          <w:color w:val="auto"/>
          <w:kern w:val="2"/>
          <w:sz w:val="36"/>
          <w:szCs w:val="22"/>
          <w:highlight w:val="none"/>
          <w:u w:val="none"/>
        </w:rPr>
      </w:pPr>
    </w:p>
    <w:p>
      <w:pPr>
        <w:pStyle w:val="5"/>
        <w:ind w:firstLine="200"/>
        <w:jc w:val="center"/>
        <w:rPr>
          <w:rFonts w:ascii="仿宋" w:hAnsi="仿宋" w:eastAsia="仿宋" w:cs="仿宋"/>
          <w:bCs/>
          <w:color w:val="auto"/>
          <w:kern w:val="2"/>
          <w:sz w:val="36"/>
          <w:szCs w:val="22"/>
          <w:highlight w:val="none"/>
          <w:u w:val="none"/>
        </w:rPr>
      </w:pPr>
    </w:p>
    <w:p>
      <w:pPr>
        <w:pStyle w:val="5"/>
        <w:ind w:firstLine="200"/>
        <w:jc w:val="center"/>
        <w:rPr>
          <w:rFonts w:ascii="仿宋" w:hAnsi="仿宋" w:eastAsia="仿宋" w:cs="仿宋"/>
          <w:bCs/>
          <w:color w:val="auto"/>
          <w:kern w:val="2"/>
          <w:sz w:val="36"/>
          <w:szCs w:val="22"/>
          <w:highlight w:val="none"/>
          <w:u w:val="none"/>
        </w:rPr>
      </w:pPr>
    </w:p>
    <w:p>
      <w:pPr>
        <w:rPr>
          <w:rFonts w:ascii="仿宋" w:hAnsi="仿宋" w:eastAsia="仿宋" w:cs="仿宋"/>
          <w:bCs/>
          <w:color w:val="auto"/>
          <w:sz w:val="36"/>
          <w:szCs w:val="22"/>
          <w:highlight w:val="none"/>
        </w:rPr>
      </w:pPr>
    </w:p>
    <w:p>
      <w:pPr>
        <w:pStyle w:val="22"/>
        <w:ind w:firstLine="720"/>
        <w:rPr>
          <w:rFonts w:ascii="仿宋" w:hAnsi="仿宋" w:eastAsia="仿宋" w:cs="仿宋"/>
          <w:bCs/>
          <w:color w:val="auto"/>
          <w:sz w:val="36"/>
          <w:szCs w:val="22"/>
          <w:highlight w:val="none"/>
        </w:rPr>
      </w:pPr>
    </w:p>
    <w:p>
      <w:pPr>
        <w:rPr>
          <w:rFonts w:ascii="仿宋" w:hAnsi="仿宋" w:eastAsia="仿宋" w:cs="仿宋"/>
          <w:bCs/>
          <w:color w:val="auto"/>
          <w:sz w:val="36"/>
          <w:szCs w:val="22"/>
          <w:highlight w:val="none"/>
        </w:rPr>
      </w:pPr>
    </w:p>
    <w:p>
      <w:pPr>
        <w:pStyle w:val="10"/>
        <w:rPr>
          <w:rFonts w:ascii="仿宋" w:hAnsi="仿宋" w:eastAsia="仿宋" w:cs="仿宋"/>
          <w:bCs/>
          <w:color w:val="auto"/>
          <w:sz w:val="36"/>
          <w:szCs w:val="22"/>
          <w:highlight w:val="none"/>
        </w:rPr>
      </w:pPr>
    </w:p>
    <w:p>
      <w:pPr>
        <w:rPr>
          <w:rFonts w:ascii="仿宋" w:hAnsi="仿宋" w:eastAsia="仿宋" w:cs="仿宋"/>
          <w:bCs/>
          <w:color w:val="auto"/>
          <w:szCs w:val="21"/>
          <w:highlight w:val="none"/>
        </w:rPr>
      </w:pPr>
      <w:r>
        <w:rPr>
          <w:rFonts w:hint="eastAsia" w:ascii="仿宋" w:hAnsi="仿宋" w:eastAsia="仿宋" w:cs="仿宋"/>
          <w:bCs/>
          <w:color w:val="auto"/>
          <w:szCs w:val="21"/>
          <w:highlight w:val="none"/>
        </w:rPr>
        <w:br w:type="page"/>
      </w:r>
    </w:p>
    <w:p>
      <w:pPr>
        <w:pStyle w:val="5"/>
        <w:rPr>
          <w:rFonts w:ascii="仿宋" w:hAnsi="仿宋" w:eastAsia="仿宋" w:cs="仿宋"/>
          <w:bCs/>
          <w:color w:val="auto"/>
          <w:szCs w:val="21"/>
          <w:highlight w:val="none"/>
          <w:u w:val="none"/>
        </w:rPr>
      </w:pPr>
      <w:r>
        <w:rPr>
          <w:rFonts w:hint="eastAsia" w:ascii="仿宋" w:hAnsi="仿宋" w:eastAsia="仿宋" w:cs="仿宋"/>
          <w:bCs/>
          <w:color w:val="auto"/>
          <w:kern w:val="2"/>
          <w:szCs w:val="21"/>
          <w:highlight w:val="none"/>
          <w:u w:val="none"/>
        </w:rPr>
        <w:t>附件6：</w:t>
      </w:r>
    </w:p>
    <w:p>
      <w:pPr>
        <w:pStyle w:val="5"/>
        <w:ind w:firstLine="200"/>
        <w:jc w:val="center"/>
        <w:rPr>
          <w:rFonts w:ascii="仿宋" w:hAnsi="仿宋" w:eastAsia="仿宋" w:cs="仿宋"/>
          <w:color w:val="auto"/>
          <w:highlight w:val="none"/>
        </w:rPr>
      </w:pPr>
      <w:r>
        <w:rPr>
          <w:rFonts w:hint="eastAsia" w:ascii="仿宋" w:hAnsi="仿宋" w:eastAsia="仿宋" w:cs="仿宋"/>
          <w:bCs/>
          <w:color w:val="auto"/>
          <w:kern w:val="2"/>
          <w:sz w:val="36"/>
          <w:szCs w:val="22"/>
          <w:highlight w:val="none"/>
          <w:u w:val="none"/>
        </w:rPr>
        <w:t>偏 离 表（商务和服务条款）</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供应商应对竞争性磋商文件中规定的商务（如服务期、付款方式）及服务部分给予充分的考虑。</w:t>
      </w:r>
    </w:p>
    <w:p>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1.服务条款中指标如有偏离，应在本表中详细列出，如无偏离，请在本部分写“完全响应所有服务要求，无偏离”，否则视同无偏离。</w:t>
      </w:r>
    </w:p>
    <w:p>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2.商务条款如无偏离，请在商务条款部分写“完全响应商务条款要求，无偏离”，并按格式要求盖章签字附在响应文件中，否则视同无偏离。</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项目编号：ZYJS-SC2024063  </w:t>
      </w:r>
    </w:p>
    <w:tbl>
      <w:tblPr>
        <w:tblStyle w:val="23"/>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2417"/>
        <w:gridCol w:w="2077"/>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24"/>
                <w:highlight w:val="none"/>
              </w:rPr>
              <w:t>服务</w:t>
            </w:r>
            <w:r>
              <w:rPr>
                <w:rFonts w:hint="eastAsia" w:ascii="仿宋" w:hAnsi="仿宋" w:eastAsia="仿宋" w:cs="仿宋"/>
                <w:b/>
                <w:bCs/>
                <w:color w:val="auto"/>
                <w:sz w:val="24"/>
                <w:highlight w:val="none"/>
                <w:lang w:val="zh-CN"/>
              </w:rPr>
              <w:t>条款类别</w:t>
            </w:r>
          </w:p>
        </w:tc>
        <w:tc>
          <w:tcPr>
            <w:tcW w:w="2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磋商文件</w:t>
            </w:r>
          </w:p>
          <w:p>
            <w:pPr>
              <w:keepNext/>
              <w:autoSpaceDE w:val="0"/>
              <w:autoSpaceDN w:val="0"/>
              <w:adjustRightInd w:val="0"/>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24"/>
                <w:highlight w:val="none"/>
                <w:lang w:val="zh-CN"/>
              </w:rPr>
              <w:t>具体要求</w:t>
            </w: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主要</w:t>
            </w:r>
            <w:r>
              <w:rPr>
                <w:rFonts w:hint="eastAsia" w:ascii="仿宋" w:hAnsi="仿宋" w:eastAsia="仿宋" w:cs="仿宋"/>
                <w:b/>
                <w:bCs/>
                <w:color w:val="auto"/>
                <w:sz w:val="24"/>
                <w:highlight w:val="none"/>
              </w:rPr>
              <w:t>服务内容</w:t>
            </w:r>
            <w:r>
              <w:rPr>
                <w:rFonts w:hint="eastAsia" w:ascii="仿宋" w:hAnsi="仿宋" w:eastAsia="仿宋" w:cs="仿宋"/>
                <w:b/>
                <w:bCs/>
                <w:color w:val="auto"/>
                <w:sz w:val="24"/>
                <w:highlight w:val="none"/>
                <w:lang w:val="zh-CN"/>
              </w:rPr>
              <w:t>或</w:t>
            </w:r>
          </w:p>
          <w:p>
            <w:pPr>
              <w:keepNext/>
              <w:autoSpaceDE w:val="0"/>
              <w:autoSpaceDN w:val="0"/>
              <w:adjustRightInd w:val="0"/>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24"/>
                <w:highlight w:val="none"/>
                <w:lang w:val="zh-CN"/>
              </w:rPr>
              <w:t>响应内容</w:t>
            </w:r>
          </w:p>
        </w:tc>
        <w:tc>
          <w:tcPr>
            <w:tcW w:w="24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24"/>
                <w:highlight w:val="none"/>
                <w:lang w:val="zh-CN"/>
              </w:rPr>
              <w:t>符合、正偏离或负偏离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86"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widowControl/>
              <w:autoSpaceDE w:val="0"/>
              <w:autoSpaceDN w:val="0"/>
              <w:adjustRightInd w:val="0"/>
              <w:snapToGrid w:val="0"/>
              <w:spacing w:line="360" w:lineRule="auto"/>
              <w:jc w:val="center"/>
              <w:rPr>
                <w:rFonts w:ascii="仿宋" w:hAnsi="仿宋" w:eastAsia="仿宋" w:cs="仿宋"/>
                <w:color w:val="auto"/>
                <w:sz w:val="24"/>
                <w:highlight w:val="none"/>
                <w:lang w:val="zh-CN" w:bidi="ar"/>
              </w:rPr>
            </w:pPr>
            <w:r>
              <w:rPr>
                <w:rFonts w:hint="eastAsia" w:ascii="仿宋" w:hAnsi="仿宋" w:eastAsia="仿宋" w:cs="仿宋"/>
                <w:color w:val="auto"/>
                <w:sz w:val="24"/>
                <w:highlight w:val="none"/>
                <w:lang w:bidi="ar"/>
              </w:rPr>
              <w:t>服务</w:t>
            </w:r>
            <w:r>
              <w:rPr>
                <w:rFonts w:hint="eastAsia" w:ascii="仿宋" w:hAnsi="仿宋" w:eastAsia="仿宋" w:cs="仿宋"/>
                <w:color w:val="auto"/>
                <w:sz w:val="24"/>
                <w:highlight w:val="none"/>
                <w:lang w:val="zh-CN" w:bidi="ar"/>
              </w:rPr>
              <w:t>条款中指标如有偏离，应在本表中详细列出，如无偏离，请在本部分写“完全响应所有服务要求，无偏离”，否则视同无偏离。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b/>
                <w:color w:val="auto"/>
                <w:sz w:val="24"/>
                <w:highlight w:val="none"/>
              </w:rPr>
            </w:pPr>
          </w:p>
        </w:tc>
        <w:tc>
          <w:tcPr>
            <w:tcW w:w="2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b/>
                <w:color w:val="auto"/>
                <w:sz w:val="24"/>
                <w:highlight w:val="none"/>
              </w:rPr>
            </w:pP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color w:val="auto"/>
                <w:sz w:val="24"/>
                <w:highlight w:val="none"/>
              </w:rPr>
            </w:pPr>
          </w:p>
        </w:tc>
        <w:tc>
          <w:tcPr>
            <w:tcW w:w="24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b/>
                <w:color w:val="auto"/>
                <w:sz w:val="24"/>
                <w:highlight w:val="none"/>
              </w:rPr>
            </w:pPr>
          </w:p>
        </w:tc>
        <w:tc>
          <w:tcPr>
            <w:tcW w:w="2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b/>
                <w:color w:val="auto"/>
                <w:sz w:val="24"/>
                <w:highlight w:val="none"/>
              </w:rPr>
            </w:pP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color w:val="auto"/>
                <w:sz w:val="24"/>
                <w:highlight w:val="none"/>
              </w:rPr>
            </w:pPr>
          </w:p>
        </w:tc>
        <w:tc>
          <w:tcPr>
            <w:tcW w:w="24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86"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商务条款如无偏离，请在商务条款部分写“完全响应商务条款要求，无偏离”，并按格式要求盖章签字附在响应文件中，否则视同无偏离。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b/>
                <w:color w:val="auto"/>
                <w:sz w:val="24"/>
                <w:highlight w:val="none"/>
              </w:rPr>
            </w:pPr>
          </w:p>
        </w:tc>
        <w:tc>
          <w:tcPr>
            <w:tcW w:w="2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b/>
                <w:color w:val="auto"/>
                <w:sz w:val="24"/>
                <w:highlight w:val="none"/>
              </w:rPr>
            </w:pP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color w:val="auto"/>
                <w:sz w:val="24"/>
                <w:highlight w:val="none"/>
              </w:rPr>
            </w:pPr>
          </w:p>
        </w:tc>
        <w:tc>
          <w:tcPr>
            <w:tcW w:w="24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b/>
                <w:color w:val="auto"/>
                <w:sz w:val="24"/>
                <w:highlight w:val="none"/>
              </w:rPr>
            </w:pPr>
          </w:p>
        </w:tc>
        <w:tc>
          <w:tcPr>
            <w:tcW w:w="2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b/>
                <w:color w:val="auto"/>
                <w:sz w:val="24"/>
                <w:highlight w:val="none"/>
              </w:rPr>
            </w:pP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仿宋" w:hAnsi="仿宋" w:eastAsia="仿宋" w:cs="仿宋"/>
                <w:color w:val="auto"/>
                <w:sz w:val="24"/>
                <w:highlight w:val="none"/>
              </w:rPr>
            </w:pPr>
          </w:p>
        </w:tc>
        <w:tc>
          <w:tcPr>
            <w:tcW w:w="24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p>
        </w:tc>
      </w:tr>
    </w:tbl>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负责人或授权代理人（签字或盖章）：                            </w:t>
      </w:r>
    </w:p>
    <w:p>
      <w:pPr>
        <w:jc w:val="right"/>
        <w:rPr>
          <w:rFonts w:ascii="仿宋" w:hAnsi="仿宋" w:eastAsia="仿宋" w:cs="仿宋"/>
          <w:color w:val="auto"/>
          <w:highlight w:val="none"/>
        </w:rPr>
      </w:pPr>
      <w:r>
        <w:rPr>
          <w:rFonts w:hint="eastAsia" w:ascii="仿宋" w:hAnsi="仿宋" w:eastAsia="仿宋" w:cs="仿宋"/>
          <w:color w:val="auto"/>
          <w:sz w:val="24"/>
          <w:highlight w:val="none"/>
        </w:rPr>
        <w:t xml:space="preserve"> 年  月  日</w:t>
      </w:r>
    </w:p>
    <w:p>
      <w:pPr>
        <w:pStyle w:val="7"/>
        <w:ind w:firstLine="480"/>
        <w:rPr>
          <w:rFonts w:ascii="仿宋" w:hAnsi="仿宋" w:eastAsia="仿宋" w:cs="仿宋"/>
          <w:b/>
          <w:color w:val="auto"/>
          <w:sz w:val="44"/>
          <w:highlight w:val="none"/>
        </w:rPr>
      </w:pPr>
      <w:r>
        <w:rPr>
          <w:rFonts w:hint="eastAsia" w:ascii="仿宋" w:hAnsi="仿宋" w:eastAsia="仿宋" w:cs="仿宋"/>
          <w:color w:val="auto"/>
          <w:kern w:val="2"/>
          <w:szCs w:val="22"/>
          <w:highlight w:val="none"/>
        </w:rPr>
        <w:t>注：行数不够，可自行添加。</w:t>
      </w:r>
    </w:p>
    <w:p>
      <w:pPr>
        <w:pStyle w:val="7"/>
        <w:ind w:firstLine="480"/>
        <w:rPr>
          <w:rFonts w:ascii="仿宋" w:hAnsi="仿宋" w:eastAsia="仿宋" w:cs="仿宋"/>
          <w:color w:val="auto"/>
          <w:highlight w:val="none"/>
        </w:rPr>
      </w:pPr>
    </w:p>
    <w:p>
      <w:pPr>
        <w:pStyle w:val="14"/>
        <w:rPr>
          <w:rFonts w:ascii="仿宋" w:hAnsi="仿宋" w:eastAsia="仿宋" w:cs="仿宋"/>
          <w:color w:val="auto"/>
          <w:highlight w:val="none"/>
        </w:rPr>
      </w:pPr>
    </w:p>
    <w:p>
      <w:pPr>
        <w:pStyle w:val="7"/>
        <w:ind w:firstLine="480"/>
        <w:rPr>
          <w:rFonts w:ascii="仿宋" w:hAnsi="仿宋" w:eastAsia="仿宋" w:cs="仿宋"/>
          <w:color w:val="auto"/>
          <w:highlight w:val="none"/>
        </w:rPr>
        <w:sectPr>
          <w:footerReference r:id="rId4" w:type="default"/>
          <w:pgSz w:w="11906" w:h="16838"/>
          <w:pgMar w:top="1134" w:right="1134" w:bottom="1134" w:left="1417" w:header="851" w:footer="992" w:gutter="0"/>
          <w:pgNumType w:start="1"/>
          <w:cols w:space="720" w:num="1"/>
          <w:docGrid w:type="lines" w:linePitch="312" w:charSpace="0"/>
        </w:sectPr>
      </w:pPr>
    </w:p>
    <w:p>
      <w:pPr>
        <w:rPr>
          <w:rFonts w:ascii="仿宋" w:hAnsi="仿宋" w:eastAsia="仿宋" w:cs="仿宋"/>
          <w:b/>
          <w:color w:val="auto"/>
          <w:sz w:val="30"/>
          <w:szCs w:val="30"/>
          <w:highlight w:val="none"/>
        </w:rPr>
      </w:pPr>
      <w:r>
        <w:rPr>
          <w:rFonts w:hint="eastAsia" w:ascii="仿宋" w:hAnsi="仿宋" w:eastAsia="仿宋" w:cs="仿宋"/>
          <w:b/>
          <w:bCs/>
          <w:color w:val="auto"/>
          <w:sz w:val="24"/>
          <w:szCs w:val="21"/>
          <w:highlight w:val="none"/>
        </w:rPr>
        <w:t xml:space="preserve">附件7： </w:t>
      </w:r>
      <w:r>
        <w:rPr>
          <w:rFonts w:hint="eastAsia" w:ascii="仿宋" w:hAnsi="仿宋" w:eastAsia="仿宋" w:cs="仿宋"/>
          <w:b/>
          <w:color w:val="auto"/>
          <w:sz w:val="30"/>
          <w:szCs w:val="30"/>
          <w:highlight w:val="none"/>
        </w:rPr>
        <w:t xml:space="preserve">            </w:t>
      </w:r>
    </w:p>
    <w:p>
      <w:pPr>
        <w:spacing w:line="440" w:lineRule="exact"/>
        <w:jc w:val="center"/>
        <w:rPr>
          <w:rFonts w:ascii="仿宋" w:hAnsi="仿宋" w:eastAsia="仿宋" w:cs="仿宋"/>
          <w:b/>
          <w:bCs/>
          <w:color w:val="auto"/>
          <w:sz w:val="36"/>
          <w:szCs w:val="22"/>
          <w:highlight w:val="none"/>
        </w:rPr>
      </w:pPr>
      <w:r>
        <w:rPr>
          <w:rFonts w:hint="eastAsia" w:ascii="仿宋" w:hAnsi="仿宋" w:eastAsia="仿宋" w:cs="仿宋"/>
          <w:b/>
          <w:bCs/>
          <w:color w:val="auto"/>
          <w:sz w:val="36"/>
          <w:szCs w:val="22"/>
          <w:highlight w:val="none"/>
        </w:rPr>
        <w:t>项目组人员清单（标包：  ）</w:t>
      </w:r>
    </w:p>
    <w:p>
      <w:pPr>
        <w:spacing w:line="440" w:lineRule="exact"/>
        <w:jc w:val="center"/>
        <w:rPr>
          <w:rFonts w:ascii="仿宋" w:hAnsi="仿宋" w:eastAsia="仿宋" w:cs="仿宋"/>
          <w:b/>
          <w:bCs/>
          <w:color w:val="auto"/>
          <w:sz w:val="36"/>
          <w:szCs w:val="22"/>
          <w:highlight w:val="none"/>
        </w:rPr>
      </w:pPr>
    </w:p>
    <w:p>
      <w:pPr>
        <w:spacing w:line="440" w:lineRule="exact"/>
        <w:jc w:val="center"/>
        <w:rPr>
          <w:rFonts w:ascii="仿宋" w:hAnsi="仿宋" w:eastAsia="仿宋" w:cs="仿宋"/>
          <w:b/>
          <w:bCs/>
          <w:color w:val="auto"/>
          <w:sz w:val="36"/>
          <w:szCs w:val="22"/>
          <w:highlight w:val="none"/>
        </w:rPr>
      </w:pP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项目名称：关于2024年政府项目前期国土咨询调查服务项目 </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项目编号：ZYJS-SC2024063 </w:t>
      </w:r>
    </w:p>
    <w:p>
      <w:pPr>
        <w:spacing w:line="440" w:lineRule="exact"/>
        <w:rPr>
          <w:rFonts w:ascii="仿宋" w:hAnsi="仿宋" w:eastAsia="仿宋" w:cs="仿宋"/>
          <w:b/>
          <w:bCs/>
          <w:color w:val="auto"/>
          <w:sz w:val="36"/>
          <w:szCs w:val="22"/>
          <w:highlight w:val="none"/>
        </w:rPr>
      </w:pPr>
    </w:p>
    <w:tbl>
      <w:tblPr>
        <w:tblStyle w:val="23"/>
        <w:tblW w:w="93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983"/>
        <w:gridCol w:w="960"/>
        <w:gridCol w:w="900"/>
        <w:gridCol w:w="1785"/>
        <w:gridCol w:w="26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jc w:val="center"/>
        </w:trPr>
        <w:tc>
          <w:tcPr>
            <w:tcW w:w="2983" w:type="dxa"/>
            <w:tcBorders>
              <w:top w:val="single" w:color="auto" w:sz="12" w:space="0"/>
              <w:bottom w:val="double" w:color="auto" w:sz="6" w:space="0"/>
            </w:tcBorders>
            <w:vAlign w:val="center"/>
          </w:tcPr>
          <w:p>
            <w:pPr>
              <w:pStyle w:val="10"/>
              <w:keepNext/>
              <w:spacing w:line="440" w:lineRule="exact"/>
              <w:ind w:left="63" w:right="63"/>
              <w:jc w:val="center"/>
              <w:rPr>
                <w:rFonts w:ascii="仿宋" w:hAnsi="仿宋" w:eastAsia="仿宋" w:cs="仿宋"/>
                <w:color w:val="auto"/>
                <w:szCs w:val="24"/>
                <w:highlight w:val="none"/>
              </w:rPr>
            </w:pPr>
            <w:r>
              <w:rPr>
                <w:rFonts w:hint="eastAsia" w:ascii="仿宋" w:hAnsi="仿宋" w:eastAsia="仿宋" w:cs="仿宋"/>
                <w:color w:val="auto"/>
                <w:szCs w:val="24"/>
                <w:highlight w:val="none"/>
              </w:rPr>
              <w:t>名    称</w:t>
            </w:r>
          </w:p>
        </w:tc>
        <w:tc>
          <w:tcPr>
            <w:tcW w:w="960" w:type="dxa"/>
            <w:tcBorders>
              <w:top w:val="single" w:color="auto" w:sz="12" w:space="0"/>
              <w:bottom w:val="double" w:color="auto" w:sz="6" w:space="0"/>
            </w:tcBorders>
            <w:vAlign w:val="center"/>
          </w:tcPr>
          <w:p>
            <w:pPr>
              <w:pStyle w:val="10"/>
              <w:keepNext/>
              <w:spacing w:line="440" w:lineRule="exact"/>
              <w:ind w:left="63" w:right="63"/>
              <w:jc w:val="center"/>
              <w:rPr>
                <w:rFonts w:ascii="仿宋" w:hAnsi="仿宋" w:eastAsia="仿宋" w:cs="仿宋"/>
                <w:color w:val="auto"/>
                <w:szCs w:val="24"/>
                <w:highlight w:val="none"/>
              </w:rPr>
            </w:pPr>
            <w:r>
              <w:rPr>
                <w:rFonts w:hint="eastAsia" w:ascii="仿宋" w:hAnsi="仿宋" w:eastAsia="仿宋" w:cs="仿宋"/>
                <w:color w:val="auto"/>
                <w:szCs w:val="24"/>
                <w:highlight w:val="none"/>
              </w:rPr>
              <w:t>姓名</w:t>
            </w:r>
          </w:p>
        </w:tc>
        <w:tc>
          <w:tcPr>
            <w:tcW w:w="900" w:type="dxa"/>
            <w:tcBorders>
              <w:top w:val="single" w:color="auto" w:sz="12" w:space="0"/>
              <w:bottom w:val="double" w:color="auto" w:sz="6" w:space="0"/>
            </w:tcBorders>
            <w:vAlign w:val="center"/>
          </w:tcPr>
          <w:p>
            <w:pPr>
              <w:pStyle w:val="10"/>
              <w:keepNext/>
              <w:spacing w:line="440" w:lineRule="exact"/>
              <w:ind w:left="63" w:right="63"/>
              <w:jc w:val="center"/>
              <w:rPr>
                <w:rFonts w:ascii="仿宋" w:hAnsi="仿宋" w:eastAsia="仿宋" w:cs="仿宋"/>
                <w:color w:val="auto"/>
                <w:szCs w:val="24"/>
                <w:highlight w:val="none"/>
              </w:rPr>
            </w:pPr>
            <w:r>
              <w:rPr>
                <w:rFonts w:hint="eastAsia" w:ascii="仿宋" w:hAnsi="仿宋" w:eastAsia="仿宋" w:cs="仿宋"/>
                <w:color w:val="auto"/>
                <w:szCs w:val="24"/>
                <w:highlight w:val="none"/>
              </w:rPr>
              <w:t>职务</w:t>
            </w:r>
          </w:p>
        </w:tc>
        <w:tc>
          <w:tcPr>
            <w:tcW w:w="1785" w:type="dxa"/>
            <w:tcBorders>
              <w:top w:val="single" w:color="auto" w:sz="12" w:space="0"/>
              <w:bottom w:val="double" w:color="auto" w:sz="6" w:space="0"/>
            </w:tcBorders>
            <w:vAlign w:val="center"/>
          </w:tcPr>
          <w:p>
            <w:pPr>
              <w:pStyle w:val="10"/>
              <w:keepNext/>
              <w:spacing w:line="440" w:lineRule="exact"/>
              <w:ind w:left="63" w:right="63"/>
              <w:jc w:val="center"/>
              <w:rPr>
                <w:rFonts w:ascii="仿宋" w:hAnsi="仿宋" w:eastAsia="仿宋" w:cs="仿宋"/>
                <w:color w:val="auto"/>
                <w:szCs w:val="24"/>
                <w:highlight w:val="none"/>
              </w:rPr>
            </w:pPr>
            <w:r>
              <w:rPr>
                <w:rFonts w:hint="eastAsia" w:ascii="仿宋" w:hAnsi="仿宋" w:eastAsia="仿宋" w:cs="仿宋"/>
                <w:color w:val="auto"/>
                <w:szCs w:val="24"/>
                <w:highlight w:val="none"/>
              </w:rPr>
              <w:t>资格或职称</w:t>
            </w:r>
          </w:p>
        </w:tc>
        <w:tc>
          <w:tcPr>
            <w:tcW w:w="2685" w:type="dxa"/>
            <w:tcBorders>
              <w:top w:val="single" w:color="auto" w:sz="12" w:space="0"/>
              <w:bottom w:val="double" w:color="auto" w:sz="6" w:space="0"/>
            </w:tcBorders>
            <w:vAlign w:val="center"/>
          </w:tcPr>
          <w:p>
            <w:pPr>
              <w:pStyle w:val="10"/>
              <w:keepNext/>
              <w:spacing w:line="440" w:lineRule="exact"/>
              <w:ind w:left="63" w:right="63"/>
              <w:jc w:val="center"/>
              <w:rPr>
                <w:rFonts w:ascii="仿宋" w:hAnsi="仿宋" w:eastAsia="仿宋" w:cs="仿宋"/>
                <w:color w:val="auto"/>
                <w:szCs w:val="24"/>
                <w:highlight w:val="none"/>
              </w:rPr>
            </w:pPr>
            <w:r>
              <w:rPr>
                <w:rFonts w:hint="eastAsia" w:ascii="仿宋" w:hAnsi="仿宋" w:eastAsia="仿宋" w:cs="仿宋"/>
                <w:color w:val="auto"/>
                <w:szCs w:val="24"/>
                <w:highlight w:val="none"/>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13" w:type="dxa"/>
            <w:gridSpan w:val="5"/>
            <w:tcBorders>
              <w:top w:val="single" w:color="auto" w:sz="6" w:space="0"/>
              <w:bottom w:val="single" w:color="auto" w:sz="6" w:space="0"/>
            </w:tcBorders>
            <w:vAlign w:val="center"/>
          </w:tcPr>
          <w:p>
            <w:pPr>
              <w:pStyle w:val="10"/>
              <w:keepNext/>
              <w:spacing w:line="440" w:lineRule="exact"/>
              <w:ind w:right="63"/>
              <w:rPr>
                <w:rFonts w:ascii="仿宋" w:hAnsi="仿宋" w:eastAsia="仿宋" w:cs="仿宋"/>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pStyle w:val="10"/>
              <w:keepNext/>
              <w:spacing w:line="440" w:lineRule="exact"/>
              <w:ind w:left="63" w:right="63"/>
              <w:rPr>
                <w:rFonts w:ascii="仿宋" w:hAnsi="仿宋" w:eastAsia="仿宋" w:cs="仿宋"/>
                <w:color w:val="auto"/>
                <w:szCs w:val="24"/>
                <w:highlight w:val="none"/>
              </w:rPr>
            </w:pPr>
          </w:p>
        </w:tc>
        <w:tc>
          <w:tcPr>
            <w:tcW w:w="960" w:type="dxa"/>
            <w:vAlign w:val="center"/>
          </w:tcPr>
          <w:p>
            <w:pPr>
              <w:pStyle w:val="10"/>
              <w:keepNext/>
              <w:spacing w:line="440" w:lineRule="exact"/>
              <w:ind w:left="63" w:right="63"/>
              <w:rPr>
                <w:rFonts w:ascii="仿宋" w:hAnsi="仿宋" w:eastAsia="仿宋" w:cs="仿宋"/>
                <w:color w:val="auto"/>
                <w:szCs w:val="24"/>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rPr>
                <w:rFonts w:ascii="仿宋" w:hAnsi="仿宋" w:eastAsia="仿宋" w:cs="仿宋"/>
                <w:color w:val="auto"/>
                <w:sz w:val="24"/>
                <w:highlight w:val="none"/>
              </w:rPr>
            </w:pPr>
          </w:p>
        </w:tc>
        <w:tc>
          <w:tcPr>
            <w:tcW w:w="960" w:type="dxa"/>
            <w:vAlign w:val="center"/>
          </w:tcPr>
          <w:p>
            <w:pPr>
              <w:ind w:firstLine="480" w:firstLineChars="200"/>
              <w:rPr>
                <w:rFonts w:ascii="仿宋" w:hAnsi="仿宋" w:eastAsia="仿宋" w:cs="仿宋"/>
                <w:color w:val="auto"/>
                <w:sz w:val="24"/>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rPr>
                <w:rFonts w:ascii="仿宋" w:hAnsi="仿宋" w:eastAsia="仿宋" w:cs="仿宋"/>
                <w:color w:val="auto"/>
                <w:sz w:val="24"/>
                <w:highlight w:val="none"/>
              </w:rPr>
            </w:pPr>
          </w:p>
        </w:tc>
        <w:tc>
          <w:tcPr>
            <w:tcW w:w="96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rPr>
                <w:rFonts w:ascii="仿宋" w:hAnsi="仿宋" w:eastAsia="仿宋" w:cs="仿宋"/>
                <w:color w:val="auto"/>
                <w:sz w:val="24"/>
                <w:highlight w:val="none"/>
              </w:rPr>
            </w:pPr>
          </w:p>
        </w:tc>
        <w:tc>
          <w:tcPr>
            <w:tcW w:w="96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rPr>
                <w:rFonts w:ascii="仿宋" w:hAnsi="仿宋" w:eastAsia="仿宋" w:cs="仿宋"/>
                <w:color w:val="auto"/>
                <w:sz w:val="24"/>
                <w:highlight w:val="none"/>
              </w:rPr>
            </w:pPr>
          </w:p>
        </w:tc>
        <w:tc>
          <w:tcPr>
            <w:tcW w:w="96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rPr>
                <w:rFonts w:ascii="仿宋" w:hAnsi="仿宋" w:eastAsia="仿宋" w:cs="仿宋"/>
                <w:color w:val="auto"/>
                <w:sz w:val="24"/>
                <w:highlight w:val="none"/>
              </w:rPr>
            </w:pPr>
          </w:p>
        </w:tc>
        <w:tc>
          <w:tcPr>
            <w:tcW w:w="96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rPr>
                <w:rFonts w:ascii="仿宋" w:hAnsi="仿宋" w:eastAsia="仿宋" w:cs="仿宋"/>
                <w:color w:val="auto"/>
                <w:sz w:val="24"/>
                <w:highlight w:val="none"/>
              </w:rPr>
            </w:pPr>
          </w:p>
        </w:tc>
        <w:tc>
          <w:tcPr>
            <w:tcW w:w="96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rPr>
                <w:rFonts w:ascii="仿宋" w:hAnsi="仿宋" w:eastAsia="仿宋" w:cs="仿宋"/>
                <w:color w:val="auto"/>
                <w:sz w:val="30"/>
                <w:szCs w:val="30"/>
                <w:highlight w:val="none"/>
              </w:rPr>
            </w:pPr>
          </w:p>
        </w:tc>
        <w:tc>
          <w:tcPr>
            <w:tcW w:w="96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rPr>
                <w:rFonts w:ascii="仿宋" w:hAnsi="仿宋" w:eastAsia="仿宋" w:cs="仿宋"/>
                <w:color w:val="auto"/>
                <w:sz w:val="30"/>
                <w:szCs w:val="30"/>
                <w:highlight w:val="none"/>
              </w:rPr>
            </w:pPr>
          </w:p>
        </w:tc>
        <w:tc>
          <w:tcPr>
            <w:tcW w:w="96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pStyle w:val="10"/>
              <w:keepNext/>
              <w:spacing w:line="440" w:lineRule="exact"/>
              <w:ind w:left="63" w:right="63"/>
              <w:rPr>
                <w:rFonts w:ascii="仿宋" w:hAnsi="仿宋" w:eastAsia="仿宋" w:cs="仿宋"/>
                <w:color w:val="auto"/>
                <w:sz w:val="30"/>
                <w:szCs w:val="30"/>
                <w:highlight w:val="none"/>
              </w:rPr>
            </w:pPr>
          </w:p>
        </w:tc>
        <w:tc>
          <w:tcPr>
            <w:tcW w:w="96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6" w:space="0"/>
            </w:tcBorders>
            <w:vAlign w:val="center"/>
          </w:tcPr>
          <w:p>
            <w:pPr>
              <w:pStyle w:val="10"/>
              <w:keepNext/>
              <w:spacing w:line="440" w:lineRule="exact"/>
              <w:ind w:left="63" w:right="63"/>
              <w:rPr>
                <w:rFonts w:ascii="仿宋" w:hAnsi="仿宋" w:eastAsia="仿宋" w:cs="仿宋"/>
                <w:color w:val="auto"/>
                <w:sz w:val="30"/>
                <w:szCs w:val="30"/>
                <w:highlight w:val="none"/>
              </w:rPr>
            </w:pPr>
          </w:p>
        </w:tc>
        <w:tc>
          <w:tcPr>
            <w:tcW w:w="96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vAlign w:val="center"/>
          </w:tcPr>
          <w:p>
            <w:pPr>
              <w:pStyle w:val="10"/>
              <w:keepNext/>
              <w:spacing w:line="440" w:lineRule="exact"/>
              <w:ind w:left="63" w:right="63"/>
              <w:rPr>
                <w:rFonts w:ascii="仿宋" w:hAnsi="仿宋" w:eastAsia="仿宋" w:cs="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83" w:type="dxa"/>
            <w:tcBorders>
              <w:top w:val="single" w:color="auto" w:sz="6" w:space="0"/>
              <w:bottom w:val="single" w:color="auto" w:sz="12" w:space="0"/>
            </w:tcBorders>
            <w:vAlign w:val="center"/>
          </w:tcPr>
          <w:p>
            <w:pPr>
              <w:pStyle w:val="10"/>
              <w:keepNext/>
              <w:spacing w:line="440" w:lineRule="exact"/>
              <w:ind w:left="63" w:right="63"/>
              <w:rPr>
                <w:rFonts w:ascii="仿宋" w:hAnsi="仿宋" w:eastAsia="仿宋" w:cs="仿宋"/>
                <w:color w:val="auto"/>
                <w:sz w:val="30"/>
                <w:szCs w:val="30"/>
                <w:highlight w:val="none"/>
              </w:rPr>
            </w:pPr>
          </w:p>
        </w:tc>
        <w:tc>
          <w:tcPr>
            <w:tcW w:w="960" w:type="dxa"/>
            <w:tcBorders>
              <w:bottom w:val="single" w:color="auto" w:sz="12" w:space="0"/>
            </w:tcBorders>
            <w:vAlign w:val="center"/>
          </w:tcPr>
          <w:p>
            <w:pPr>
              <w:pStyle w:val="10"/>
              <w:keepNext/>
              <w:spacing w:line="440" w:lineRule="exact"/>
              <w:ind w:left="63" w:right="63"/>
              <w:rPr>
                <w:rFonts w:ascii="仿宋" w:hAnsi="仿宋" w:eastAsia="仿宋" w:cs="仿宋"/>
                <w:color w:val="auto"/>
                <w:sz w:val="30"/>
                <w:szCs w:val="30"/>
                <w:highlight w:val="none"/>
              </w:rPr>
            </w:pPr>
          </w:p>
        </w:tc>
        <w:tc>
          <w:tcPr>
            <w:tcW w:w="900" w:type="dxa"/>
            <w:tcBorders>
              <w:bottom w:val="single" w:color="auto" w:sz="12" w:space="0"/>
            </w:tcBorders>
            <w:vAlign w:val="center"/>
          </w:tcPr>
          <w:p>
            <w:pPr>
              <w:pStyle w:val="10"/>
              <w:keepNext/>
              <w:spacing w:line="440" w:lineRule="exact"/>
              <w:ind w:left="63" w:right="63"/>
              <w:rPr>
                <w:rFonts w:ascii="仿宋" w:hAnsi="仿宋" w:eastAsia="仿宋" w:cs="仿宋"/>
                <w:color w:val="auto"/>
                <w:sz w:val="30"/>
                <w:szCs w:val="30"/>
                <w:highlight w:val="none"/>
              </w:rPr>
            </w:pPr>
          </w:p>
        </w:tc>
        <w:tc>
          <w:tcPr>
            <w:tcW w:w="1785" w:type="dxa"/>
            <w:tcBorders>
              <w:bottom w:val="single" w:color="auto" w:sz="12" w:space="0"/>
            </w:tcBorders>
            <w:vAlign w:val="center"/>
          </w:tcPr>
          <w:p>
            <w:pPr>
              <w:pStyle w:val="10"/>
              <w:keepNext/>
              <w:spacing w:line="440" w:lineRule="exact"/>
              <w:ind w:left="63" w:right="63"/>
              <w:rPr>
                <w:rFonts w:ascii="仿宋" w:hAnsi="仿宋" w:eastAsia="仿宋" w:cs="仿宋"/>
                <w:color w:val="auto"/>
                <w:sz w:val="30"/>
                <w:szCs w:val="30"/>
                <w:highlight w:val="none"/>
              </w:rPr>
            </w:pPr>
          </w:p>
        </w:tc>
        <w:tc>
          <w:tcPr>
            <w:tcW w:w="2685" w:type="dxa"/>
            <w:tcBorders>
              <w:bottom w:val="single" w:color="auto" w:sz="12" w:space="0"/>
            </w:tcBorders>
            <w:vAlign w:val="center"/>
          </w:tcPr>
          <w:p>
            <w:pPr>
              <w:pStyle w:val="10"/>
              <w:keepNext/>
              <w:spacing w:line="440" w:lineRule="exact"/>
              <w:ind w:left="63" w:right="63"/>
              <w:rPr>
                <w:rFonts w:ascii="仿宋" w:hAnsi="仿宋" w:eastAsia="仿宋" w:cs="仿宋"/>
                <w:color w:val="auto"/>
                <w:sz w:val="30"/>
                <w:szCs w:val="30"/>
                <w:highlight w:val="none"/>
              </w:rPr>
            </w:pPr>
          </w:p>
        </w:tc>
      </w:tr>
    </w:tbl>
    <w:p>
      <w:pPr>
        <w:spacing w:line="360" w:lineRule="auto"/>
        <w:rPr>
          <w:rFonts w:ascii="仿宋" w:hAnsi="仿宋" w:eastAsia="仿宋" w:cs="仿宋"/>
          <w:b/>
          <w:color w:val="auto"/>
          <w:sz w:val="24"/>
          <w:highlight w:val="none"/>
        </w:rPr>
      </w:pPr>
    </w:p>
    <w:p>
      <w:pPr>
        <w:pStyle w:val="22"/>
        <w:rPr>
          <w:rFonts w:ascii="仿宋" w:hAnsi="仿宋" w:eastAsia="仿宋" w:cs="仿宋"/>
          <w:color w:val="auto"/>
          <w:highlight w:val="none"/>
        </w:rPr>
      </w:pPr>
    </w:p>
    <w:p>
      <w:pPr>
        <w:pStyle w:val="22"/>
        <w:rPr>
          <w:rFonts w:ascii="仿宋" w:hAnsi="仿宋" w:eastAsia="仿宋" w:cs="仿宋"/>
          <w:color w:val="auto"/>
          <w:highlight w:val="none"/>
        </w:rPr>
      </w:pPr>
    </w:p>
    <w:p>
      <w:pPr>
        <w:pStyle w:val="10"/>
        <w:jc w:val="center"/>
        <w:rPr>
          <w:rFonts w:ascii="仿宋" w:hAnsi="仿宋" w:eastAsia="仿宋" w:cs="仿宋"/>
          <w:b/>
          <w:bCs/>
          <w:color w:val="auto"/>
          <w:sz w:val="36"/>
          <w:szCs w:val="36"/>
          <w:highlight w:val="none"/>
        </w:rPr>
      </w:pPr>
    </w:p>
    <w:p>
      <w:pPr>
        <w:rPr>
          <w:rFonts w:ascii="仿宋" w:hAnsi="仿宋" w:eastAsia="仿宋" w:cs="仿宋"/>
          <w:b/>
          <w:bCs/>
          <w:color w:val="auto"/>
          <w:sz w:val="36"/>
          <w:szCs w:val="36"/>
          <w:highlight w:val="none"/>
        </w:rPr>
      </w:pPr>
    </w:p>
    <w:p>
      <w:pPr>
        <w:rPr>
          <w:rFonts w:ascii="仿宋" w:hAnsi="仿宋" w:eastAsia="仿宋" w:cs="仿宋"/>
          <w:b/>
          <w:color w:val="auto"/>
          <w:sz w:val="44"/>
          <w:szCs w:val="21"/>
          <w:highlight w:val="none"/>
        </w:rPr>
      </w:pPr>
    </w:p>
    <w:p>
      <w:pPr>
        <w:jc w:val="center"/>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友 情 提 醒</w:t>
      </w:r>
    </w:p>
    <w:p>
      <w:pPr>
        <w:spacing w:line="500" w:lineRule="exact"/>
        <w:ind w:firstLine="480" w:firstLineChars="200"/>
        <w:jc w:val="left"/>
        <w:rPr>
          <w:rFonts w:ascii="仿宋" w:hAnsi="仿宋" w:eastAsia="仿宋" w:cs="仿宋"/>
          <w:bCs/>
          <w:color w:val="auto"/>
          <w:sz w:val="24"/>
          <w:highlight w:val="none"/>
        </w:rPr>
      </w:pPr>
    </w:p>
    <w:p>
      <w:pPr>
        <w:spacing w:line="5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rPr>
        <w:t>供应商：</w:t>
      </w:r>
    </w:p>
    <w:p>
      <w:pPr>
        <w:spacing w:line="5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rPr>
        <w:t>您好！</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为了提高贵公司响应文件的有效性，减少不必要的废标，特友情提醒注意以下几点：</w:t>
      </w:r>
    </w:p>
    <w:p>
      <w:pPr>
        <w:numPr>
          <w:ilvl w:val="0"/>
          <w:numId w:val="2"/>
        </w:num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请谨记磋商公告中的各项事宜时间节点，特别是磋商时间和地点。供应商应充分考虑天气及周边道路情况，在上述时间前到达开标现场。迟于响应文件递交截止时间的，采购代理机构将拒绝接收其响应文件。</w:t>
      </w:r>
    </w:p>
    <w:p>
      <w:pPr>
        <w:numPr>
          <w:ilvl w:val="0"/>
          <w:numId w:val="2"/>
        </w:num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磋商保证金必须按磋商公告规定的方式和时间缴至指定帐户</w:t>
      </w:r>
      <w:r>
        <w:rPr>
          <w:rFonts w:hint="eastAsia" w:ascii="仿宋" w:hAnsi="仿宋" w:eastAsia="仿宋" w:cs="仿宋"/>
          <w:b/>
          <w:color w:val="auto"/>
          <w:sz w:val="24"/>
          <w:highlight w:val="none"/>
        </w:rPr>
        <w:t>并到帐</w:t>
      </w:r>
      <w:r>
        <w:rPr>
          <w:rFonts w:hint="eastAsia" w:ascii="仿宋" w:hAnsi="仿宋" w:eastAsia="仿宋" w:cs="仿宋"/>
          <w:bCs/>
          <w:color w:val="auto"/>
          <w:sz w:val="24"/>
          <w:highlight w:val="none"/>
        </w:rPr>
        <w:t>，拒绝以其它方式缴纳，禁止第三方代缴保证金。</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3、响应文件须按竞争性磋商文件《第二章 供应商须知》及《第六章 响应文件格式》中相关要求装订、密封、标记、盖章和签署。</w:t>
      </w:r>
      <w:r>
        <w:rPr>
          <w:rFonts w:hint="eastAsia" w:ascii="仿宋" w:hAnsi="仿宋" w:eastAsia="仿宋" w:cs="仿宋"/>
          <w:color w:val="auto"/>
          <w:sz w:val="24"/>
          <w:highlight w:val="none"/>
        </w:rPr>
        <w:t>所有响应文件密封口须加盖供应商公章、法定代表人或授权委托人签字或盖章。</w:t>
      </w:r>
      <w:r>
        <w:rPr>
          <w:rFonts w:hint="eastAsia" w:ascii="仿宋" w:hAnsi="仿宋" w:eastAsia="仿宋" w:cs="仿宋"/>
          <w:bCs/>
          <w:color w:val="auto"/>
          <w:sz w:val="24"/>
          <w:highlight w:val="none"/>
        </w:rPr>
        <w:t>资格证明材料提供复印件的应加盖公章，</w:t>
      </w:r>
      <w:r>
        <w:rPr>
          <w:rFonts w:hint="eastAsia" w:ascii="仿宋" w:hAnsi="仿宋" w:eastAsia="仿宋" w:cs="仿宋"/>
          <w:color w:val="auto"/>
          <w:sz w:val="24"/>
          <w:highlight w:val="none"/>
        </w:rPr>
        <w:t>复印件内容应清晰可辨，必要时磋商小组有权要求提供原件或公证件进行核对。</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4、若项目需要提供样品的，请严格按磋商文件要求的规格、时间提供，同时注意样品的密封、隐蔽标签的相关要求。</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5、为充分掌握项目情况，可根据自身需要，自行对有关现场和周围环境进行勘察，以获取编制响应文件和签署合同所需的信息。</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6、本项目设有预算价，详见竞争性磋商文件《第二章 供应商须知》，</w:t>
      </w:r>
      <w:r>
        <w:rPr>
          <w:rFonts w:hint="eastAsia" w:ascii="仿宋" w:hAnsi="仿宋" w:eastAsia="仿宋" w:cs="仿宋"/>
          <w:color w:val="auto"/>
          <w:sz w:val="24"/>
          <w:highlight w:val="none"/>
        </w:rPr>
        <w:t>报价超过采购预算，采购人无法接受的，将作为无效响应。</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7、请仔细审阅磋商公告及磋商文件，如有疑问，请按磋商公告相关要求进行提疑。</w:t>
      </w:r>
    </w:p>
    <w:p>
      <w:pPr>
        <w:spacing w:line="500" w:lineRule="exact"/>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我们也欢迎您对我们的采购组织工作提出宝贵意见。电话：0519-85785155</w:t>
      </w:r>
    </w:p>
    <w:p>
      <w:pP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最后祝您竞标成功！</w:t>
      </w:r>
    </w:p>
    <w:p>
      <w:pPr>
        <w:rPr>
          <w:rFonts w:ascii="仿宋" w:hAnsi="仿宋" w:eastAsia="仿宋" w:cs="仿宋"/>
          <w:color w:val="auto"/>
          <w:highlight w:val="none"/>
        </w:rPr>
      </w:pPr>
    </w:p>
    <w:p>
      <w:pPr>
        <w:spacing w:line="360" w:lineRule="auto"/>
        <w:jc w:val="center"/>
        <w:rPr>
          <w:rFonts w:ascii="仿宋" w:hAnsi="仿宋" w:eastAsia="仿宋" w:cs="仿宋"/>
          <w:color w:val="auto"/>
          <w:highlight w:val="none"/>
        </w:rPr>
      </w:pPr>
      <w:r>
        <w:rPr>
          <w:rFonts w:hint="eastAsia" w:ascii="仿宋" w:hAnsi="仿宋" w:eastAsia="仿宋" w:cs="仿宋"/>
          <w:bCs/>
          <w:color w:val="auto"/>
          <w:sz w:val="24"/>
          <w:highlight w:val="none"/>
        </w:rPr>
        <w:t>本竞争性磋商文件的最终解释权归常州中宇建设工程管理有限公司所有。</w:t>
      </w:r>
    </w:p>
    <w:p>
      <w:pPr>
        <w:spacing w:line="360" w:lineRule="auto"/>
        <w:jc w:val="center"/>
        <w:rPr>
          <w:rFonts w:ascii="仿宋" w:hAnsi="仿宋" w:eastAsia="仿宋" w:cs="仿宋"/>
          <w:color w:val="auto"/>
          <w:highlight w:val="none"/>
        </w:rPr>
      </w:pPr>
      <w:r>
        <w:rPr>
          <w:rFonts w:hint="eastAsia" w:ascii="仿宋" w:hAnsi="仿宋" w:eastAsia="仿宋" w:cs="仿宋"/>
          <w:b/>
          <w:color w:val="auto"/>
          <w:sz w:val="32"/>
          <w:highlight w:val="none"/>
        </w:rPr>
        <w:t>（全文完）</w:t>
      </w:r>
    </w:p>
    <w:bookmarkEnd w:id="95"/>
    <w:bookmarkEnd w:id="96"/>
    <w:bookmarkEnd w:id="97"/>
    <w:p>
      <w:pPr>
        <w:jc w:val="left"/>
        <w:rPr>
          <w:rFonts w:ascii="仿宋" w:hAnsi="仿宋" w:eastAsia="仿宋" w:cs="仿宋"/>
          <w:color w:val="auto"/>
          <w:highlight w:val="none"/>
        </w:rPr>
      </w:pPr>
    </w:p>
    <w:sectPr>
      <w:footerReference r:id="rId5" w:type="default"/>
      <w:pgSz w:w="11906" w:h="16838"/>
      <w:pgMar w:top="1134" w:right="1134"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00715FB3-92BE-443B-BB95-9CFEA4C789AD}"/>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cs="宋体"/>
        <w:sz w:val="20"/>
        <w:szCs w:val="20"/>
      </w:rPr>
    </w:pPr>
    <w:r>
      <w:rPr>
        <w:rFonts w:hint="eastAsia" w:ascii="宋体" w:hAnsi="宋体" w:cs="宋体"/>
        <w:sz w:val="20"/>
        <w:szCs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016635" cy="16446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16635" cy="164465"/>
                      </a:xfrm>
                      <a:prstGeom prst="rect">
                        <a:avLst/>
                      </a:prstGeom>
                      <a:noFill/>
                      <a:ln>
                        <a:noFill/>
                      </a:ln>
                    </wps:spPr>
                    <wps:txbx>
                      <w:txbxContent>
                        <w:p>
                          <w:pPr>
                            <w:pStyle w:val="15"/>
                            <w:rPr>
                              <w:rFonts w:ascii="宋体" w:hAnsi="宋体" w:eastAsia="宋体" w:cs="宋体"/>
                              <w:sz w:val="20"/>
                            </w:rPr>
                          </w:pPr>
                          <w:r>
                            <w:rPr>
                              <w:rFonts w:ascii="宋体" w:hAnsi="宋体" w:eastAsia="宋体" w:cs="宋体"/>
                              <w:sz w:val="20"/>
                            </w:rPr>
                            <w:t xml:space="preserve">第 </w:t>
                          </w:r>
                          <w:r>
                            <w:rPr>
                              <w:rFonts w:ascii="宋体" w:hAnsi="宋体" w:eastAsia="宋体" w:cs="宋体"/>
                              <w:sz w:val="20"/>
                            </w:rPr>
                            <w:fldChar w:fldCharType="begin"/>
                          </w:r>
                          <w:r>
                            <w:rPr>
                              <w:rFonts w:ascii="宋体" w:hAnsi="宋体" w:eastAsia="宋体" w:cs="宋体"/>
                              <w:sz w:val="20"/>
                            </w:rPr>
                            <w:instrText xml:space="preserve"> PAGE  \* MERGEFORMAT </w:instrText>
                          </w:r>
                          <w:r>
                            <w:rPr>
                              <w:rFonts w:ascii="宋体" w:hAnsi="宋体" w:eastAsia="宋体" w:cs="宋体"/>
                              <w:sz w:val="20"/>
                            </w:rPr>
                            <w:fldChar w:fldCharType="separate"/>
                          </w:r>
                          <w:r>
                            <w:rPr>
                              <w:rFonts w:ascii="宋体" w:hAnsi="宋体" w:eastAsia="宋体" w:cs="宋体"/>
                              <w:sz w:val="20"/>
                            </w:rPr>
                            <w:t>19</w:t>
                          </w:r>
                          <w:r>
                            <w:rPr>
                              <w:rFonts w:ascii="宋体" w:hAnsi="宋体" w:eastAsia="宋体" w:cs="宋体"/>
                              <w:sz w:val="20"/>
                            </w:rPr>
                            <w:fldChar w:fldCharType="end"/>
                          </w:r>
                          <w:r>
                            <w:rPr>
                              <w:rFonts w:ascii="宋体" w:hAnsi="宋体" w:eastAsia="宋体" w:cs="宋体"/>
                              <w:sz w:val="20"/>
                            </w:rPr>
                            <w:t xml:space="preserve"> 页 共 </w:t>
                          </w:r>
                          <w:r>
                            <w:rPr>
                              <w:rFonts w:hint="eastAsia" w:ascii="宋体" w:hAnsi="宋体" w:eastAsia="宋体" w:cs="宋体"/>
                              <w:sz w:val="20"/>
                            </w:rPr>
                            <w:t>43</w:t>
                          </w:r>
                          <w:r>
                            <w:rPr>
                              <w:rFonts w:ascii="宋体" w:hAnsi="宋体" w:eastAsia="宋体" w:cs="宋体"/>
                              <w:sz w:val="20"/>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95pt;width:80.05pt;mso-position-horizontal:right;mso-position-horizontal-relative:margin;mso-wrap-style:none;z-index:251660288;mso-width-relative:page;mso-height-relative:page;" filled="f" stroked="f" coordsize="21600,21600" o:gfxdata="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d0SO0gAAAAQBAAAPAAAAAAAAAAEAIAAAACIAAABkcnMv&#10;ZG93bnJldi54bWxQSwECFAAUAAAACACHTuJAj2MbHQkCAAADBAAADgAAAAAAAAABACAAAAAhAQAA&#10;ZHJzL2Uyb0RvYy54bWxQSwUGAAAAAAYABgBZAQAAnAUAAAAA&#10;">
              <v:fill on="f" focussize="0,0"/>
              <v:stroke on="f"/>
              <v:imagedata o:title=""/>
              <o:lock v:ext="edit" aspectratio="f"/>
              <v:textbox inset="0mm,0mm,0mm,0mm" style="mso-fit-shape-to-text:t;">
                <w:txbxContent>
                  <w:p>
                    <w:pPr>
                      <w:pStyle w:val="15"/>
                      <w:rPr>
                        <w:rFonts w:ascii="宋体" w:hAnsi="宋体" w:eastAsia="宋体" w:cs="宋体"/>
                        <w:sz w:val="20"/>
                      </w:rPr>
                    </w:pPr>
                    <w:r>
                      <w:rPr>
                        <w:rFonts w:ascii="宋体" w:hAnsi="宋体" w:eastAsia="宋体" w:cs="宋体"/>
                        <w:sz w:val="20"/>
                      </w:rPr>
                      <w:t xml:space="preserve">第 </w:t>
                    </w:r>
                    <w:r>
                      <w:rPr>
                        <w:rFonts w:ascii="宋体" w:hAnsi="宋体" w:eastAsia="宋体" w:cs="宋体"/>
                        <w:sz w:val="20"/>
                      </w:rPr>
                      <w:fldChar w:fldCharType="begin"/>
                    </w:r>
                    <w:r>
                      <w:rPr>
                        <w:rFonts w:ascii="宋体" w:hAnsi="宋体" w:eastAsia="宋体" w:cs="宋体"/>
                        <w:sz w:val="20"/>
                      </w:rPr>
                      <w:instrText xml:space="preserve"> PAGE  \* MERGEFORMAT </w:instrText>
                    </w:r>
                    <w:r>
                      <w:rPr>
                        <w:rFonts w:ascii="宋体" w:hAnsi="宋体" w:eastAsia="宋体" w:cs="宋体"/>
                        <w:sz w:val="20"/>
                      </w:rPr>
                      <w:fldChar w:fldCharType="separate"/>
                    </w:r>
                    <w:r>
                      <w:rPr>
                        <w:rFonts w:ascii="宋体" w:hAnsi="宋体" w:eastAsia="宋体" w:cs="宋体"/>
                        <w:sz w:val="20"/>
                      </w:rPr>
                      <w:t>19</w:t>
                    </w:r>
                    <w:r>
                      <w:rPr>
                        <w:rFonts w:ascii="宋体" w:hAnsi="宋体" w:eastAsia="宋体" w:cs="宋体"/>
                        <w:sz w:val="20"/>
                      </w:rPr>
                      <w:fldChar w:fldCharType="end"/>
                    </w:r>
                    <w:r>
                      <w:rPr>
                        <w:rFonts w:ascii="宋体" w:hAnsi="宋体" w:eastAsia="宋体" w:cs="宋体"/>
                        <w:sz w:val="20"/>
                      </w:rPr>
                      <w:t xml:space="preserve"> 页 共 </w:t>
                    </w:r>
                    <w:r>
                      <w:rPr>
                        <w:rFonts w:hint="eastAsia" w:ascii="宋体" w:hAnsi="宋体" w:eastAsia="宋体" w:cs="宋体"/>
                        <w:sz w:val="20"/>
                      </w:rPr>
                      <w:t>43</w:t>
                    </w:r>
                    <w:r>
                      <w:rPr>
                        <w:rFonts w:ascii="宋体" w:hAnsi="宋体" w:eastAsia="宋体" w:cs="宋体"/>
                        <w:sz w:val="20"/>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cs="宋体"/>
        <w:sz w:val="20"/>
        <w:szCs w:val="20"/>
      </w:rPr>
    </w:pPr>
    <w:r>
      <w:rPr>
        <w:rFonts w:hint="eastAsia" w:ascii="宋体" w:hAnsi="宋体" w:cs="宋体"/>
        <w:sz w:val="20"/>
        <w:szCs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016635" cy="1644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16635" cy="164465"/>
                      </a:xfrm>
                      <a:prstGeom prst="rect">
                        <a:avLst/>
                      </a:prstGeom>
                      <a:noFill/>
                      <a:ln>
                        <a:noFill/>
                      </a:ln>
                    </wps:spPr>
                    <wps:txbx>
                      <w:txbxContent>
                        <w:p>
                          <w:pPr>
                            <w:pStyle w:val="15"/>
                            <w:rPr>
                              <w:rFonts w:ascii="宋体" w:hAnsi="宋体" w:eastAsia="宋体" w:cs="宋体"/>
                              <w:sz w:val="20"/>
                            </w:rPr>
                          </w:pPr>
                          <w:r>
                            <w:rPr>
                              <w:rFonts w:ascii="宋体" w:hAnsi="宋体" w:eastAsia="宋体" w:cs="宋体"/>
                              <w:sz w:val="20"/>
                            </w:rPr>
                            <w:t xml:space="preserve">第 </w:t>
                          </w:r>
                          <w:r>
                            <w:rPr>
                              <w:rFonts w:ascii="宋体" w:hAnsi="宋体" w:eastAsia="宋体" w:cs="宋体"/>
                              <w:sz w:val="20"/>
                            </w:rPr>
                            <w:fldChar w:fldCharType="begin"/>
                          </w:r>
                          <w:r>
                            <w:rPr>
                              <w:rFonts w:ascii="宋体" w:hAnsi="宋体" w:eastAsia="宋体" w:cs="宋体"/>
                              <w:sz w:val="20"/>
                            </w:rPr>
                            <w:instrText xml:space="preserve"> PAGE  \* MERGEFORMAT </w:instrText>
                          </w:r>
                          <w:r>
                            <w:rPr>
                              <w:rFonts w:ascii="宋体" w:hAnsi="宋体" w:eastAsia="宋体" w:cs="宋体"/>
                              <w:sz w:val="20"/>
                            </w:rPr>
                            <w:fldChar w:fldCharType="separate"/>
                          </w:r>
                          <w:r>
                            <w:rPr>
                              <w:rFonts w:ascii="宋体" w:hAnsi="宋体" w:eastAsia="宋体" w:cs="宋体"/>
                              <w:sz w:val="20"/>
                            </w:rPr>
                            <w:t>44</w:t>
                          </w:r>
                          <w:r>
                            <w:rPr>
                              <w:rFonts w:ascii="宋体" w:hAnsi="宋体" w:eastAsia="宋体" w:cs="宋体"/>
                              <w:sz w:val="20"/>
                            </w:rPr>
                            <w:fldChar w:fldCharType="end"/>
                          </w:r>
                          <w:r>
                            <w:rPr>
                              <w:rFonts w:ascii="宋体" w:hAnsi="宋体" w:eastAsia="宋体" w:cs="宋体"/>
                              <w:sz w:val="20"/>
                            </w:rPr>
                            <w:t xml:space="preserve"> 页 共 </w:t>
                          </w:r>
                          <w:r>
                            <w:rPr>
                              <w:rFonts w:hint="eastAsia" w:ascii="宋体" w:hAnsi="宋体" w:eastAsia="宋体" w:cs="宋体"/>
                              <w:sz w:val="20"/>
                            </w:rPr>
                            <w:t>4</w:t>
                          </w:r>
                          <w:r>
                            <w:rPr>
                              <w:rFonts w:hint="eastAsia" w:ascii="宋体" w:hAnsi="宋体" w:eastAsia="宋体" w:cs="宋体"/>
                              <w:sz w:val="20"/>
                              <w:lang w:val="en-US" w:eastAsia="zh-CN"/>
                            </w:rPr>
                            <w:t>5</w:t>
                          </w:r>
                          <w:r>
                            <w:rPr>
                              <w:rFonts w:ascii="宋体" w:hAnsi="宋体" w:eastAsia="宋体" w:cs="宋体"/>
                              <w:sz w:val="20"/>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95pt;width:80.05pt;mso-position-horizontal:right;mso-position-horizontal-relative:margin;mso-wrap-style:none;z-index:251661312;mso-width-relative:page;mso-height-relative:page;" filled="f" stroked="f" coordsize="21600,21600" o:gfxdata="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53RI7SAAAABAEAAA8AAAAAAAAAAQAgAAAAIgAAAGRy&#10;cy9kb3ducmV2LnhtbFBLAQIUABQAAAAIAIdO4kD59iOgCwIAAAMEAAAOAAAAAAAAAAEAIAAAACEB&#10;AABkcnMvZTJvRG9jLnhtbFBLBQYAAAAABgAGAFkBAACeBQAAAAA=&#10;">
              <v:fill on="f" focussize="0,0"/>
              <v:stroke on="f"/>
              <v:imagedata o:title=""/>
              <o:lock v:ext="edit" aspectratio="f"/>
              <v:textbox inset="0mm,0mm,0mm,0mm" style="mso-fit-shape-to-text:t;">
                <w:txbxContent>
                  <w:p>
                    <w:pPr>
                      <w:pStyle w:val="15"/>
                      <w:rPr>
                        <w:rFonts w:ascii="宋体" w:hAnsi="宋体" w:eastAsia="宋体" w:cs="宋体"/>
                        <w:sz w:val="20"/>
                      </w:rPr>
                    </w:pPr>
                    <w:r>
                      <w:rPr>
                        <w:rFonts w:ascii="宋体" w:hAnsi="宋体" w:eastAsia="宋体" w:cs="宋体"/>
                        <w:sz w:val="20"/>
                      </w:rPr>
                      <w:t xml:space="preserve">第 </w:t>
                    </w:r>
                    <w:r>
                      <w:rPr>
                        <w:rFonts w:ascii="宋体" w:hAnsi="宋体" w:eastAsia="宋体" w:cs="宋体"/>
                        <w:sz w:val="20"/>
                      </w:rPr>
                      <w:fldChar w:fldCharType="begin"/>
                    </w:r>
                    <w:r>
                      <w:rPr>
                        <w:rFonts w:ascii="宋体" w:hAnsi="宋体" w:eastAsia="宋体" w:cs="宋体"/>
                        <w:sz w:val="20"/>
                      </w:rPr>
                      <w:instrText xml:space="preserve"> PAGE  \* MERGEFORMAT </w:instrText>
                    </w:r>
                    <w:r>
                      <w:rPr>
                        <w:rFonts w:ascii="宋体" w:hAnsi="宋体" w:eastAsia="宋体" w:cs="宋体"/>
                        <w:sz w:val="20"/>
                      </w:rPr>
                      <w:fldChar w:fldCharType="separate"/>
                    </w:r>
                    <w:r>
                      <w:rPr>
                        <w:rFonts w:ascii="宋体" w:hAnsi="宋体" w:eastAsia="宋体" w:cs="宋体"/>
                        <w:sz w:val="20"/>
                      </w:rPr>
                      <w:t>44</w:t>
                    </w:r>
                    <w:r>
                      <w:rPr>
                        <w:rFonts w:ascii="宋体" w:hAnsi="宋体" w:eastAsia="宋体" w:cs="宋体"/>
                        <w:sz w:val="20"/>
                      </w:rPr>
                      <w:fldChar w:fldCharType="end"/>
                    </w:r>
                    <w:r>
                      <w:rPr>
                        <w:rFonts w:ascii="宋体" w:hAnsi="宋体" w:eastAsia="宋体" w:cs="宋体"/>
                        <w:sz w:val="20"/>
                      </w:rPr>
                      <w:t xml:space="preserve"> 页 共 </w:t>
                    </w:r>
                    <w:r>
                      <w:rPr>
                        <w:rFonts w:hint="eastAsia" w:ascii="宋体" w:hAnsi="宋体" w:eastAsia="宋体" w:cs="宋体"/>
                        <w:sz w:val="20"/>
                      </w:rPr>
                      <w:t>4</w:t>
                    </w:r>
                    <w:r>
                      <w:rPr>
                        <w:rFonts w:hint="eastAsia" w:ascii="宋体" w:hAnsi="宋体" w:eastAsia="宋体" w:cs="宋体"/>
                        <w:sz w:val="20"/>
                        <w:lang w:val="en-US" w:eastAsia="zh-CN"/>
                      </w:rPr>
                      <w:t>5</w:t>
                    </w:r>
                    <w:r>
                      <w:rPr>
                        <w:rFonts w:ascii="宋体" w:hAnsi="宋体" w:eastAsia="宋体" w:cs="宋体"/>
                        <w:sz w:val="20"/>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sz w:val="20"/>
        <w:szCs w:val="20"/>
      </w:rPr>
    </w:pPr>
    <w:r>
      <w:rPr>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7162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71625" cy="131445"/>
                      </a:xfrm>
                      <a:prstGeom prst="rect">
                        <a:avLst/>
                      </a:prstGeom>
                      <a:noFill/>
                      <a:ln>
                        <a:noFill/>
                      </a:ln>
                    </wps:spPr>
                    <wps:txbx>
                      <w:txbxContent>
                        <w:p>
                          <w:pPr>
                            <w:snapToGrid w:val="0"/>
                            <w:rPr>
                              <w:sz w:val="18"/>
                            </w:rPr>
                          </w:pP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123.75pt;mso-position-horizontal:center;mso-position-horizontal-relative:margin;z-index:251659264;mso-width-relative:page;mso-height-relative:page;" filled="f" stroked="f" coordsize="21600,21600" o:gfxdata="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rIdl9IAAAAEAQAADwAAAAAAAAABACAAAAAiAAAA&#10;ZHJzL2Rvd25yZXYueG1sUEsBAhQAFAAAAAgAh07iQGas6CwNAgAABQQAAA4AAAAAAAAAAQAgAAAA&#10;IQEAAGRycy9lMm9Eb2MueG1sUEsFBgAAAAAGAAYAWQEAAKA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120D1"/>
    <w:multiLevelType w:val="singleLevel"/>
    <w:tmpl w:val="58A120D1"/>
    <w:lvl w:ilvl="0" w:tentative="0">
      <w:start w:val="1"/>
      <w:numFmt w:val="decimal"/>
      <w:suff w:val="nothing"/>
      <w:lvlText w:val="%1、"/>
      <w:lvlJc w:val="left"/>
    </w:lvl>
  </w:abstractNum>
  <w:abstractNum w:abstractNumId="1">
    <w:nsid w:val="5C427B4E"/>
    <w:multiLevelType w:val="singleLevel"/>
    <w:tmpl w:val="5C427B4E"/>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1YTZhOTFhNTJmMzZlMTNiYjkzYzk2MWY4NDQ1NzEifQ=="/>
  </w:docVars>
  <w:rsids>
    <w:rsidRoot w:val="008623AE"/>
    <w:rsid w:val="00001235"/>
    <w:rsid w:val="000072F3"/>
    <w:rsid w:val="00070BD7"/>
    <w:rsid w:val="000E26C0"/>
    <w:rsid w:val="000F3B0B"/>
    <w:rsid w:val="00103108"/>
    <w:rsid w:val="00112E74"/>
    <w:rsid w:val="00116D91"/>
    <w:rsid w:val="00122FD6"/>
    <w:rsid w:val="00153689"/>
    <w:rsid w:val="001558E2"/>
    <w:rsid w:val="00174203"/>
    <w:rsid w:val="001C7D71"/>
    <w:rsid w:val="001D31E7"/>
    <w:rsid w:val="001F3B6A"/>
    <w:rsid w:val="00240D9F"/>
    <w:rsid w:val="002A231A"/>
    <w:rsid w:val="002B216B"/>
    <w:rsid w:val="002C29BE"/>
    <w:rsid w:val="003A3263"/>
    <w:rsid w:val="003F126B"/>
    <w:rsid w:val="004122E5"/>
    <w:rsid w:val="00457B2D"/>
    <w:rsid w:val="0048306C"/>
    <w:rsid w:val="004955CC"/>
    <w:rsid w:val="004C2A01"/>
    <w:rsid w:val="004D01B1"/>
    <w:rsid w:val="004D0A0B"/>
    <w:rsid w:val="005443A9"/>
    <w:rsid w:val="0056127D"/>
    <w:rsid w:val="00564611"/>
    <w:rsid w:val="00570756"/>
    <w:rsid w:val="00573F33"/>
    <w:rsid w:val="005A2302"/>
    <w:rsid w:val="005D6CCB"/>
    <w:rsid w:val="0060022E"/>
    <w:rsid w:val="00647663"/>
    <w:rsid w:val="006A4D00"/>
    <w:rsid w:val="006B5C0E"/>
    <w:rsid w:val="006F731A"/>
    <w:rsid w:val="006F739F"/>
    <w:rsid w:val="00720B74"/>
    <w:rsid w:val="007602C2"/>
    <w:rsid w:val="0076576D"/>
    <w:rsid w:val="007A4EEC"/>
    <w:rsid w:val="007F6E98"/>
    <w:rsid w:val="008275BC"/>
    <w:rsid w:val="0083560D"/>
    <w:rsid w:val="008623AE"/>
    <w:rsid w:val="008B7FF7"/>
    <w:rsid w:val="008D0F62"/>
    <w:rsid w:val="008E3DD7"/>
    <w:rsid w:val="008F6325"/>
    <w:rsid w:val="0097557C"/>
    <w:rsid w:val="009E5768"/>
    <w:rsid w:val="009F17FC"/>
    <w:rsid w:val="00A02B21"/>
    <w:rsid w:val="00A76882"/>
    <w:rsid w:val="00AD46DC"/>
    <w:rsid w:val="00AD7E6A"/>
    <w:rsid w:val="00B059C5"/>
    <w:rsid w:val="00B2693C"/>
    <w:rsid w:val="00B368E0"/>
    <w:rsid w:val="00B62AD6"/>
    <w:rsid w:val="00B846A5"/>
    <w:rsid w:val="00B87CCC"/>
    <w:rsid w:val="00C14676"/>
    <w:rsid w:val="00C146D5"/>
    <w:rsid w:val="00C2255F"/>
    <w:rsid w:val="00C267CE"/>
    <w:rsid w:val="00C73328"/>
    <w:rsid w:val="00C91A9A"/>
    <w:rsid w:val="00CB4E9F"/>
    <w:rsid w:val="00CE51A9"/>
    <w:rsid w:val="00CE6703"/>
    <w:rsid w:val="00CF70F5"/>
    <w:rsid w:val="00D16CD7"/>
    <w:rsid w:val="00D33C81"/>
    <w:rsid w:val="00D73DD8"/>
    <w:rsid w:val="00DA3CC1"/>
    <w:rsid w:val="00DA7E0C"/>
    <w:rsid w:val="00E01304"/>
    <w:rsid w:val="00E228EF"/>
    <w:rsid w:val="00EB520A"/>
    <w:rsid w:val="00ED1886"/>
    <w:rsid w:val="00EE4D08"/>
    <w:rsid w:val="00F10866"/>
    <w:rsid w:val="00F315F6"/>
    <w:rsid w:val="00F47D65"/>
    <w:rsid w:val="00F5457A"/>
    <w:rsid w:val="00FA154B"/>
    <w:rsid w:val="00FA3735"/>
    <w:rsid w:val="00FA7EAE"/>
    <w:rsid w:val="00FB0A52"/>
    <w:rsid w:val="00FB7DC9"/>
    <w:rsid w:val="0100397C"/>
    <w:rsid w:val="01835E84"/>
    <w:rsid w:val="01FA0FBF"/>
    <w:rsid w:val="032C78C1"/>
    <w:rsid w:val="04D32AE3"/>
    <w:rsid w:val="07653909"/>
    <w:rsid w:val="07926D5B"/>
    <w:rsid w:val="09647EF7"/>
    <w:rsid w:val="09C20CEC"/>
    <w:rsid w:val="0A2C420D"/>
    <w:rsid w:val="0B686E71"/>
    <w:rsid w:val="0DC73EF1"/>
    <w:rsid w:val="0FD871D4"/>
    <w:rsid w:val="10AC0875"/>
    <w:rsid w:val="10C44CC2"/>
    <w:rsid w:val="11783118"/>
    <w:rsid w:val="11A35826"/>
    <w:rsid w:val="12064245"/>
    <w:rsid w:val="12796FAD"/>
    <w:rsid w:val="129C65F0"/>
    <w:rsid w:val="12D37214"/>
    <w:rsid w:val="153C707B"/>
    <w:rsid w:val="15BD44DA"/>
    <w:rsid w:val="165B7C95"/>
    <w:rsid w:val="166D4DC2"/>
    <w:rsid w:val="168E1929"/>
    <w:rsid w:val="1692252A"/>
    <w:rsid w:val="177B7AA5"/>
    <w:rsid w:val="195B6C7F"/>
    <w:rsid w:val="1AA21541"/>
    <w:rsid w:val="1ACB6E64"/>
    <w:rsid w:val="1C0974A0"/>
    <w:rsid w:val="1C8C7440"/>
    <w:rsid w:val="1D4F4307"/>
    <w:rsid w:val="1DE95977"/>
    <w:rsid w:val="1E9A4C66"/>
    <w:rsid w:val="1E9B029B"/>
    <w:rsid w:val="1F72055C"/>
    <w:rsid w:val="1FE01582"/>
    <w:rsid w:val="21E339E4"/>
    <w:rsid w:val="220B14B0"/>
    <w:rsid w:val="22147A8D"/>
    <w:rsid w:val="22322908"/>
    <w:rsid w:val="224D78E6"/>
    <w:rsid w:val="23615F25"/>
    <w:rsid w:val="237544B8"/>
    <w:rsid w:val="23BA7AC8"/>
    <w:rsid w:val="24AA3898"/>
    <w:rsid w:val="25260A0E"/>
    <w:rsid w:val="26585FD2"/>
    <w:rsid w:val="265903EF"/>
    <w:rsid w:val="26B40654"/>
    <w:rsid w:val="27083761"/>
    <w:rsid w:val="271473E5"/>
    <w:rsid w:val="27BB0B97"/>
    <w:rsid w:val="29D07E9B"/>
    <w:rsid w:val="2C6E3FF9"/>
    <w:rsid w:val="2DA1478B"/>
    <w:rsid w:val="2DCF2E6A"/>
    <w:rsid w:val="31763FB8"/>
    <w:rsid w:val="31B80536"/>
    <w:rsid w:val="325C38F6"/>
    <w:rsid w:val="33025375"/>
    <w:rsid w:val="3462762C"/>
    <w:rsid w:val="35C46F0A"/>
    <w:rsid w:val="35D1792B"/>
    <w:rsid w:val="38603639"/>
    <w:rsid w:val="386078FE"/>
    <w:rsid w:val="396D0304"/>
    <w:rsid w:val="3C1413C3"/>
    <w:rsid w:val="3C8436CE"/>
    <w:rsid w:val="3CEC4BFF"/>
    <w:rsid w:val="3D5F6D61"/>
    <w:rsid w:val="3DF6444E"/>
    <w:rsid w:val="3E47610F"/>
    <w:rsid w:val="3EAF4853"/>
    <w:rsid w:val="3F134EF1"/>
    <w:rsid w:val="40E93AFA"/>
    <w:rsid w:val="42C71B9A"/>
    <w:rsid w:val="430C4E54"/>
    <w:rsid w:val="4346535C"/>
    <w:rsid w:val="44495E98"/>
    <w:rsid w:val="452D12E2"/>
    <w:rsid w:val="46526283"/>
    <w:rsid w:val="47573E46"/>
    <w:rsid w:val="480D7D1C"/>
    <w:rsid w:val="487C261C"/>
    <w:rsid w:val="499D69E6"/>
    <w:rsid w:val="4A141794"/>
    <w:rsid w:val="4C14762D"/>
    <w:rsid w:val="4E176A7E"/>
    <w:rsid w:val="4E3E1C30"/>
    <w:rsid w:val="4E5646EB"/>
    <w:rsid w:val="4EA01147"/>
    <w:rsid w:val="4F1C6FFB"/>
    <w:rsid w:val="4FA43BFA"/>
    <w:rsid w:val="5031356B"/>
    <w:rsid w:val="52281E70"/>
    <w:rsid w:val="52546A82"/>
    <w:rsid w:val="525557C4"/>
    <w:rsid w:val="52D9772C"/>
    <w:rsid w:val="53FC0331"/>
    <w:rsid w:val="5436724D"/>
    <w:rsid w:val="54456746"/>
    <w:rsid w:val="57341582"/>
    <w:rsid w:val="5764235E"/>
    <w:rsid w:val="57D227FA"/>
    <w:rsid w:val="58B35103"/>
    <w:rsid w:val="5AB00B89"/>
    <w:rsid w:val="5B3752DB"/>
    <w:rsid w:val="5BC06B96"/>
    <w:rsid w:val="5BEA425C"/>
    <w:rsid w:val="5C0B108B"/>
    <w:rsid w:val="5D5B52FD"/>
    <w:rsid w:val="5D62169D"/>
    <w:rsid w:val="5D986AAB"/>
    <w:rsid w:val="5F75116C"/>
    <w:rsid w:val="602E199D"/>
    <w:rsid w:val="60A30443"/>
    <w:rsid w:val="627F1535"/>
    <w:rsid w:val="62B66C66"/>
    <w:rsid w:val="62E92DEE"/>
    <w:rsid w:val="63856AF3"/>
    <w:rsid w:val="65EE02F9"/>
    <w:rsid w:val="66C52377"/>
    <w:rsid w:val="66E57C97"/>
    <w:rsid w:val="673E7C8F"/>
    <w:rsid w:val="67D07995"/>
    <w:rsid w:val="69216385"/>
    <w:rsid w:val="694F250F"/>
    <w:rsid w:val="69D67433"/>
    <w:rsid w:val="6C9F4D8A"/>
    <w:rsid w:val="6D9B5B2A"/>
    <w:rsid w:val="6E417FD4"/>
    <w:rsid w:val="6E475780"/>
    <w:rsid w:val="6EF6178C"/>
    <w:rsid w:val="71812DB7"/>
    <w:rsid w:val="7190650B"/>
    <w:rsid w:val="726F492C"/>
    <w:rsid w:val="730D69FB"/>
    <w:rsid w:val="7398447C"/>
    <w:rsid w:val="74B64AFA"/>
    <w:rsid w:val="751B7AC3"/>
    <w:rsid w:val="75307B37"/>
    <w:rsid w:val="757525E8"/>
    <w:rsid w:val="75EE780F"/>
    <w:rsid w:val="765A08AD"/>
    <w:rsid w:val="76AC42F3"/>
    <w:rsid w:val="787663FE"/>
    <w:rsid w:val="793B15DA"/>
    <w:rsid w:val="79B618E7"/>
    <w:rsid w:val="79ED420D"/>
    <w:rsid w:val="7A0A1407"/>
    <w:rsid w:val="7A563B9D"/>
    <w:rsid w:val="7AAA40CE"/>
    <w:rsid w:val="7AFF66AE"/>
    <w:rsid w:val="7B0B7E2E"/>
    <w:rsid w:val="7C6B7CB8"/>
    <w:rsid w:val="7CD4195F"/>
    <w:rsid w:val="7DDF5E0F"/>
    <w:rsid w:val="7F1B253E"/>
    <w:rsid w:val="7F225393"/>
    <w:rsid w:val="7F5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autoRedefine/>
    <w:qFormat/>
    <w:uiPriority w:val="0"/>
    <w:pPr>
      <w:keepNext/>
      <w:keepLines/>
      <w:spacing w:before="1092" w:beforeLines="350" w:after="330" w:line="360" w:lineRule="auto"/>
      <w:ind w:right="-198"/>
      <w:jc w:val="center"/>
      <w:outlineLvl w:val="0"/>
    </w:pPr>
    <w:rPr>
      <w:rFonts w:ascii="宋体" w:hAnsi="宋体" w:eastAsia="楷体_GB2312" w:cs="宋体"/>
      <w:b/>
      <w:bCs/>
      <w:kern w:val="44"/>
      <w:sz w:val="36"/>
      <w:szCs w:val="36"/>
    </w:rPr>
  </w:style>
  <w:style w:type="paragraph" w:styleId="4">
    <w:name w:val="heading 2"/>
    <w:basedOn w:val="1"/>
    <w:next w:val="1"/>
    <w:link w:val="32"/>
    <w:autoRedefine/>
    <w:qFormat/>
    <w:uiPriority w:val="0"/>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link w:val="3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34"/>
    <w:autoRedefine/>
    <w:qFormat/>
    <w:uiPriority w:val="0"/>
    <w:pPr>
      <w:keepNext/>
      <w:keepLines/>
      <w:spacing w:before="280" w:after="290" w:line="376" w:lineRule="auto"/>
      <w:outlineLvl w:val="3"/>
    </w:pPr>
    <w:rPr>
      <w:rFonts w:ascii="Cambria" w:hAnsi="Cambria"/>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next w:val="1"/>
    <w:link w:val="36"/>
    <w:autoRedefine/>
    <w:qFormat/>
    <w:uiPriority w:val="0"/>
    <w:pPr>
      <w:autoSpaceDE w:val="0"/>
      <w:autoSpaceDN w:val="0"/>
      <w:adjustRightInd w:val="0"/>
      <w:ind w:firstLine="420"/>
      <w:jc w:val="left"/>
    </w:pPr>
    <w:rPr>
      <w:rFonts w:ascii="宋体"/>
      <w:kern w:val="0"/>
      <w:sz w:val="24"/>
      <w:szCs w:val="20"/>
    </w:rPr>
  </w:style>
  <w:style w:type="paragraph" w:styleId="8">
    <w:name w:val="Document Map"/>
    <w:basedOn w:val="1"/>
    <w:next w:val="1"/>
    <w:autoRedefine/>
    <w:unhideWhenUsed/>
    <w:qFormat/>
    <w:uiPriority w:val="99"/>
    <w:rPr>
      <w:rFonts w:ascii="宋体"/>
      <w:sz w:val="18"/>
      <w:szCs w:val="18"/>
    </w:rPr>
  </w:style>
  <w:style w:type="paragraph" w:styleId="9">
    <w:name w:val="annotation text"/>
    <w:basedOn w:val="1"/>
    <w:link w:val="38"/>
    <w:autoRedefine/>
    <w:qFormat/>
    <w:uiPriority w:val="99"/>
    <w:pPr>
      <w:jc w:val="left"/>
    </w:pPr>
    <w:rPr>
      <w:rFonts w:eastAsia="楷体_GB2312"/>
      <w:sz w:val="26"/>
      <w:szCs w:val="20"/>
    </w:rPr>
  </w:style>
  <w:style w:type="paragraph" w:styleId="10">
    <w:name w:val="Body Text"/>
    <w:basedOn w:val="1"/>
    <w:next w:val="1"/>
    <w:link w:val="35"/>
    <w:autoRedefine/>
    <w:qFormat/>
    <w:uiPriority w:val="0"/>
    <w:pPr>
      <w:tabs>
        <w:tab w:val="left" w:pos="567"/>
      </w:tabs>
      <w:spacing w:before="120" w:line="22" w:lineRule="atLeast"/>
    </w:pPr>
    <w:rPr>
      <w:rFonts w:ascii="宋体" w:hAnsi="宋体"/>
      <w:sz w:val="24"/>
      <w:szCs w:val="20"/>
    </w:rPr>
  </w:style>
  <w:style w:type="paragraph" w:styleId="11">
    <w:name w:val="Body Text Indent"/>
    <w:basedOn w:val="1"/>
    <w:next w:val="1"/>
    <w:link w:val="39"/>
    <w:autoRedefine/>
    <w:qFormat/>
    <w:uiPriority w:val="0"/>
    <w:pPr>
      <w:spacing w:after="120"/>
      <w:ind w:left="420" w:leftChars="200"/>
    </w:pPr>
    <w:rPr>
      <w:kern w:val="0"/>
      <w:sz w:val="20"/>
    </w:rPr>
  </w:style>
  <w:style w:type="paragraph" w:styleId="12">
    <w:name w:val="Plain Text"/>
    <w:basedOn w:val="1"/>
    <w:next w:val="7"/>
    <w:link w:val="40"/>
    <w:autoRedefine/>
    <w:qFormat/>
    <w:uiPriority w:val="0"/>
    <w:rPr>
      <w:rFonts w:ascii="宋体" w:hAnsi="Courier New"/>
      <w:szCs w:val="20"/>
    </w:rPr>
  </w:style>
  <w:style w:type="paragraph" w:styleId="13">
    <w:name w:val="Date"/>
    <w:basedOn w:val="1"/>
    <w:next w:val="1"/>
    <w:link w:val="41"/>
    <w:autoRedefine/>
    <w:qFormat/>
    <w:uiPriority w:val="0"/>
    <w:rPr>
      <w:rFonts w:ascii="宋体" w:hAnsi="宋体" w:eastAsia="楷体_GB2312"/>
      <w:sz w:val="24"/>
      <w:szCs w:val="20"/>
    </w:rPr>
  </w:style>
  <w:style w:type="paragraph" w:styleId="14">
    <w:name w:val="Balloon Text"/>
    <w:basedOn w:val="1"/>
    <w:link w:val="37"/>
    <w:autoRedefine/>
    <w:qFormat/>
    <w:uiPriority w:val="0"/>
    <w:rPr>
      <w:rFonts w:eastAsia="楷体_GB2312"/>
      <w:sz w:val="18"/>
      <w:szCs w:val="20"/>
    </w:rPr>
  </w:style>
  <w:style w:type="paragraph" w:styleId="15">
    <w:name w:val="footer"/>
    <w:basedOn w:val="1"/>
    <w:link w:val="42"/>
    <w:autoRedefine/>
    <w:qFormat/>
    <w:uiPriority w:val="0"/>
    <w:pPr>
      <w:tabs>
        <w:tab w:val="center" w:pos="4153"/>
        <w:tab w:val="right" w:pos="8306"/>
      </w:tabs>
      <w:snapToGrid w:val="0"/>
      <w:jc w:val="left"/>
    </w:pPr>
    <w:rPr>
      <w:rFonts w:eastAsia="楷体_GB2312"/>
      <w:sz w:val="18"/>
      <w:szCs w:val="20"/>
    </w:rPr>
  </w:style>
  <w:style w:type="paragraph" w:styleId="16">
    <w:name w:val="envelope return"/>
    <w:basedOn w:val="1"/>
    <w:autoRedefine/>
    <w:qFormat/>
    <w:uiPriority w:val="99"/>
    <w:pPr>
      <w:snapToGrid w:val="0"/>
    </w:pPr>
    <w:rPr>
      <w:rFonts w:ascii="Arial" w:hAnsi="Arial" w:cs="Arial"/>
    </w:rPr>
  </w:style>
  <w:style w:type="paragraph" w:styleId="17">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left" w:pos="1260"/>
        <w:tab w:val="right" w:leader="dot" w:pos="8296"/>
      </w:tabs>
    </w:pPr>
  </w:style>
  <w:style w:type="paragraph" w:styleId="19">
    <w:name w:val="Normal (Web)"/>
    <w:basedOn w:val="1"/>
    <w:autoRedefine/>
    <w:qFormat/>
    <w:uiPriority w:val="0"/>
    <w:pPr>
      <w:spacing w:before="100" w:beforeAutospacing="1" w:after="100" w:afterAutospacing="1"/>
      <w:jc w:val="left"/>
    </w:pPr>
    <w:rPr>
      <w:kern w:val="0"/>
      <w:sz w:val="24"/>
    </w:rPr>
  </w:style>
  <w:style w:type="paragraph" w:styleId="20">
    <w:name w:val="index 1"/>
    <w:basedOn w:val="1"/>
    <w:next w:val="1"/>
    <w:autoRedefine/>
    <w:semiHidden/>
    <w:qFormat/>
    <w:uiPriority w:val="0"/>
    <w:rPr>
      <w:rFonts w:eastAsia="楷体_GB2312"/>
      <w:sz w:val="26"/>
      <w:szCs w:val="20"/>
    </w:rPr>
  </w:style>
  <w:style w:type="paragraph" w:styleId="21">
    <w:name w:val="annotation subject"/>
    <w:basedOn w:val="9"/>
    <w:next w:val="9"/>
    <w:link w:val="44"/>
    <w:autoRedefine/>
    <w:semiHidden/>
    <w:qFormat/>
    <w:uiPriority w:val="0"/>
    <w:rPr>
      <w:b/>
      <w:bCs/>
    </w:rPr>
  </w:style>
  <w:style w:type="paragraph" w:styleId="22">
    <w:name w:val="Body Text First Indent 2"/>
    <w:basedOn w:val="1"/>
    <w:next w:val="1"/>
    <w:link w:val="45"/>
    <w:autoRedefine/>
    <w:qFormat/>
    <w:uiPriority w:val="0"/>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rPr>
  </w:style>
  <w:style w:type="character" w:styleId="27">
    <w:name w:val="page number"/>
    <w:autoRedefine/>
    <w:qFormat/>
    <w:uiPriority w:val="0"/>
  </w:style>
  <w:style w:type="character" w:styleId="28">
    <w:name w:val="FollowedHyperlink"/>
    <w:autoRedefine/>
    <w:qFormat/>
    <w:uiPriority w:val="0"/>
    <w:rPr>
      <w:color w:val="444444"/>
      <w:u w:val="none"/>
    </w:rPr>
  </w:style>
  <w:style w:type="character" w:styleId="29">
    <w:name w:val="Hyperlink"/>
    <w:autoRedefine/>
    <w:qFormat/>
    <w:uiPriority w:val="0"/>
    <w:rPr>
      <w:color w:val="444444"/>
      <w:u w:val="none"/>
    </w:rPr>
  </w:style>
  <w:style w:type="character" w:styleId="30">
    <w:name w:val="annotation reference"/>
    <w:autoRedefine/>
    <w:qFormat/>
    <w:uiPriority w:val="99"/>
    <w:rPr>
      <w:sz w:val="21"/>
    </w:rPr>
  </w:style>
  <w:style w:type="character" w:customStyle="1" w:styleId="31">
    <w:name w:val="标题 1 字符"/>
    <w:basedOn w:val="25"/>
    <w:link w:val="3"/>
    <w:autoRedefine/>
    <w:qFormat/>
    <w:uiPriority w:val="0"/>
    <w:rPr>
      <w:rFonts w:ascii="宋体" w:hAnsi="宋体" w:eastAsia="楷体_GB2312" w:cs="宋体"/>
      <w:b/>
      <w:bCs/>
      <w:kern w:val="44"/>
      <w:sz w:val="36"/>
      <w:szCs w:val="36"/>
    </w:rPr>
  </w:style>
  <w:style w:type="character" w:customStyle="1" w:styleId="32">
    <w:name w:val="标题 2 字符"/>
    <w:basedOn w:val="25"/>
    <w:link w:val="4"/>
    <w:autoRedefine/>
    <w:qFormat/>
    <w:uiPriority w:val="0"/>
    <w:rPr>
      <w:rFonts w:ascii="Arial" w:hAnsi="Arial" w:eastAsia="黑体" w:cs="Arial"/>
      <w:b/>
      <w:bCs/>
      <w:sz w:val="32"/>
      <w:szCs w:val="32"/>
    </w:rPr>
  </w:style>
  <w:style w:type="character" w:customStyle="1" w:styleId="33">
    <w:name w:val="标题 3 字符"/>
    <w:basedOn w:val="25"/>
    <w:link w:val="5"/>
    <w:autoRedefine/>
    <w:qFormat/>
    <w:uiPriority w:val="0"/>
    <w:rPr>
      <w:rFonts w:ascii="宋体" w:hAnsi="Times New Roman" w:eastAsia="宋体" w:cs="Times New Roman"/>
      <w:b/>
      <w:kern w:val="0"/>
      <w:sz w:val="24"/>
      <w:szCs w:val="20"/>
      <w:u w:val="single"/>
    </w:rPr>
  </w:style>
  <w:style w:type="character" w:customStyle="1" w:styleId="34">
    <w:name w:val="标题 4 字符"/>
    <w:basedOn w:val="25"/>
    <w:link w:val="6"/>
    <w:autoRedefine/>
    <w:qFormat/>
    <w:uiPriority w:val="0"/>
    <w:rPr>
      <w:rFonts w:ascii="Cambria" w:hAnsi="Cambria" w:eastAsia="宋体" w:cs="Times New Roman"/>
      <w:b/>
      <w:bCs/>
      <w:sz w:val="28"/>
      <w:szCs w:val="28"/>
    </w:rPr>
  </w:style>
  <w:style w:type="character" w:customStyle="1" w:styleId="35">
    <w:name w:val="正文文本 字符"/>
    <w:basedOn w:val="25"/>
    <w:link w:val="10"/>
    <w:autoRedefine/>
    <w:qFormat/>
    <w:uiPriority w:val="0"/>
    <w:rPr>
      <w:rFonts w:ascii="宋体" w:hAnsi="宋体" w:eastAsia="宋体" w:cs="Times New Roman"/>
      <w:sz w:val="24"/>
      <w:szCs w:val="20"/>
    </w:rPr>
  </w:style>
  <w:style w:type="character" w:customStyle="1" w:styleId="36">
    <w:name w:val="正文缩进 字符1"/>
    <w:link w:val="7"/>
    <w:autoRedefine/>
    <w:qFormat/>
    <w:uiPriority w:val="0"/>
    <w:rPr>
      <w:rFonts w:ascii="宋体" w:hAnsi="Times New Roman" w:eastAsia="宋体" w:cs="Times New Roman"/>
      <w:kern w:val="0"/>
      <w:sz w:val="24"/>
      <w:szCs w:val="20"/>
    </w:rPr>
  </w:style>
  <w:style w:type="character" w:customStyle="1" w:styleId="37">
    <w:name w:val="批注框文本 字符"/>
    <w:basedOn w:val="25"/>
    <w:link w:val="14"/>
    <w:autoRedefine/>
    <w:qFormat/>
    <w:uiPriority w:val="0"/>
    <w:rPr>
      <w:rFonts w:ascii="Times New Roman" w:hAnsi="Times New Roman" w:eastAsia="楷体_GB2312" w:cs="Times New Roman"/>
      <w:sz w:val="18"/>
      <w:szCs w:val="20"/>
    </w:rPr>
  </w:style>
  <w:style w:type="character" w:customStyle="1" w:styleId="38">
    <w:name w:val="批注文字 字符"/>
    <w:basedOn w:val="25"/>
    <w:link w:val="9"/>
    <w:autoRedefine/>
    <w:qFormat/>
    <w:uiPriority w:val="99"/>
    <w:rPr>
      <w:rFonts w:ascii="Times New Roman" w:hAnsi="Times New Roman" w:eastAsia="楷体_GB2312" w:cs="Times New Roman"/>
      <w:sz w:val="26"/>
      <w:szCs w:val="20"/>
    </w:rPr>
  </w:style>
  <w:style w:type="character" w:customStyle="1" w:styleId="39">
    <w:name w:val="正文文本缩进 字符"/>
    <w:basedOn w:val="25"/>
    <w:link w:val="11"/>
    <w:autoRedefine/>
    <w:qFormat/>
    <w:uiPriority w:val="0"/>
    <w:rPr>
      <w:rFonts w:ascii="Times New Roman" w:hAnsi="Times New Roman" w:eastAsia="宋体" w:cs="Times New Roman"/>
      <w:kern w:val="0"/>
      <w:sz w:val="20"/>
      <w:szCs w:val="24"/>
    </w:rPr>
  </w:style>
  <w:style w:type="character" w:customStyle="1" w:styleId="40">
    <w:name w:val="纯文本 字符"/>
    <w:basedOn w:val="25"/>
    <w:link w:val="12"/>
    <w:autoRedefine/>
    <w:qFormat/>
    <w:uiPriority w:val="0"/>
    <w:rPr>
      <w:rFonts w:ascii="宋体" w:hAnsi="Courier New" w:eastAsia="宋体" w:cs="Times New Roman"/>
      <w:szCs w:val="20"/>
    </w:rPr>
  </w:style>
  <w:style w:type="character" w:customStyle="1" w:styleId="41">
    <w:name w:val="日期 字符"/>
    <w:basedOn w:val="25"/>
    <w:link w:val="13"/>
    <w:autoRedefine/>
    <w:qFormat/>
    <w:uiPriority w:val="0"/>
    <w:rPr>
      <w:rFonts w:ascii="宋体" w:hAnsi="宋体" w:eastAsia="楷体_GB2312" w:cs="Times New Roman"/>
      <w:sz w:val="24"/>
      <w:szCs w:val="20"/>
    </w:rPr>
  </w:style>
  <w:style w:type="character" w:customStyle="1" w:styleId="42">
    <w:name w:val="页脚 字符"/>
    <w:basedOn w:val="25"/>
    <w:link w:val="15"/>
    <w:autoRedefine/>
    <w:qFormat/>
    <w:uiPriority w:val="0"/>
    <w:rPr>
      <w:rFonts w:ascii="Times New Roman" w:hAnsi="Times New Roman" w:eastAsia="楷体_GB2312" w:cs="Times New Roman"/>
      <w:sz w:val="18"/>
      <w:szCs w:val="20"/>
    </w:rPr>
  </w:style>
  <w:style w:type="character" w:customStyle="1" w:styleId="43">
    <w:name w:val="页眉 字符"/>
    <w:basedOn w:val="25"/>
    <w:link w:val="17"/>
    <w:autoRedefine/>
    <w:qFormat/>
    <w:uiPriority w:val="0"/>
    <w:rPr>
      <w:rFonts w:ascii="Times New Roman" w:hAnsi="Times New Roman" w:eastAsia="宋体" w:cs="Times New Roman"/>
      <w:sz w:val="18"/>
      <w:szCs w:val="18"/>
    </w:rPr>
  </w:style>
  <w:style w:type="character" w:customStyle="1" w:styleId="44">
    <w:name w:val="批注主题 字符"/>
    <w:basedOn w:val="38"/>
    <w:link w:val="21"/>
    <w:autoRedefine/>
    <w:semiHidden/>
    <w:qFormat/>
    <w:uiPriority w:val="0"/>
    <w:rPr>
      <w:rFonts w:ascii="Times New Roman" w:hAnsi="Times New Roman" w:eastAsia="楷体_GB2312" w:cs="Times New Roman"/>
      <w:b/>
      <w:bCs/>
      <w:sz w:val="26"/>
      <w:szCs w:val="20"/>
    </w:rPr>
  </w:style>
  <w:style w:type="character" w:customStyle="1" w:styleId="45">
    <w:name w:val="正文首行缩进 2 字符"/>
    <w:basedOn w:val="39"/>
    <w:link w:val="22"/>
    <w:autoRedefine/>
    <w:qFormat/>
    <w:uiPriority w:val="0"/>
    <w:rPr>
      <w:rFonts w:ascii="Times New Roman" w:hAnsi="Times New Roman" w:eastAsia="宋体" w:cs="Times New Roman"/>
      <w:kern w:val="0"/>
      <w:sz w:val="20"/>
      <w:szCs w:val="24"/>
    </w:rPr>
  </w:style>
  <w:style w:type="character" w:customStyle="1" w:styleId="46">
    <w:name w:val="纯文本 Char1"/>
    <w:autoRedefine/>
    <w:qFormat/>
    <w:uiPriority w:val="0"/>
    <w:rPr>
      <w:rFonts w:ascii="宋体" w:hAnsi="Courier New" w:cs="Courier New"/>
      <w:kern w:val="2"/>
      <w:sz w:val="21"/>
      <w:szCs w:val="21"/>
    </w:rPr>
  </w:style>
  <w:style w:type="character" w:customStyle="1" w:styleId="47">
    <w:name w:val="style21"/>
    <w:autoRedefine/>
    <w:qFormat/>
    <w:uiPriority w:val="0"/>
    <w:rPr>
      <w:color w:val="0000A0"/>
      <w:sz w:val="33"/>
      <w:szCs w:val="33"/>
    </w:rPr>
  </w:style>
  <w:style w:type="character" w:customStyle="1" w:styleId="48">
    <w:name w:val="font01"/>
    <w:autoRedefine/>
    <w:qFormat/>
    <w:uiPriority w:val="0"/>
    <w:rPr>
      <w:rFonts w:hint="eastAsia" w:ascii="宋体" w:hAnsi="宋体" w:eastAsia="宋体" w:cs="宋体"/>
      <w:color w:val="000000"/>
      <w:sz w:val="20"/>
      <w:szCs w:val="20"/>
      <w:u w:val="none"/>
    </w:rPr>
  </w:style>
  <w:style w:type="character" w:customStyle="1" w:styleId="49">
    <w:name w:val="正文缩进 字符"/>
    <w:autoRedefine/>
    <w:qFormat/>
    <w:uiPriority w:val="0"/>
    <w:rPr>
      <w:rFonts w:ascii="Times New Roman" w:hAnsi="Times New Roman" w:eastAsia="宋体" w:cs="Times New Roman"/>
      <w:sz w:val="24"/>
      <w:szCs w:val="21"/>
    </w:rPr>
  </w:style>
  <w:style w:type="character" w:customStyle="1" w:styleId="50">
    <w:name w:val="font101"/>
    <w:autoRedefine/>
    <w:qFormat/>
    <w:uiPriority w:val="0"/>
    <w:rPr>
      <w:rFonts w:hint="eastAsia" w:ascii="宋体" w:hAnsi="宋体" w:eastAsia="宋体" w:cs="宋体"/>
      <w:color w:val="000000"/>
      <w:sz w:val="20"/>
      <w:szCs w:val="20"/>
      <w:u w:val="none"/>
    </w:rPr>
  </w:style>
  <w:style w:type="character" w:customStyle="1" w:styleId="51">
    <w:name w:val="dr"/>
    <w:autoRedefine/>
    <w:qFormat/>
    <w:uiPriority w:val="0"/>
  </w:style>
  <w:style w:type="character" w:customStyle="1" w:styleId="52">
    <w:name w:val="font91"/>
    <w:basedOn w:val="25"/>
    <w:autoRedefine/>
    <w:qFormat/>
    <w:uiPriority w:val="0"/>
    <w:rPr>
      <w:rFonts w:hint="default" w:ascii="Arial" w:hAnsi="Arial" w:cs="Arial"/>
      <w:color w:val="000000"/>
      <w:sz w:val="20"/>
      <w:szCs w:val="20"/>
      <w:u w:val="none"/>
    </w:rPr>
  </w:style>
  <w:style w:type="character" w:customStyle="1" w:styleId="53">
    <w:name w:val="font31"/>
    <w:basedOn w:val="25"/>
    <w:autoRedefine/>
    <w:qFormat/>
    <w:uiPriority w:val="0"/>
    <w:rPr>
      <w:rFonts w:ascii="Arial Unicode MS" w:hAnsi="Arial Unicode MS" w:eastAsia="Arial Unicode MS" w:cs="Arial Unicode MS"/>
      <w:color w:val="000000"/>
      <w:sz w:val="20"/>
      <w:szCs w:val="20"/>
      <w:u w:val="none"/>
    </w:rPr>
  </w:style>
  <w:style w:type="character" w:customStyle="1" w:styleId="54">
    <w:name w:val="font81"/>
    <w:autoRedefine/>
    <w:qFormat/>
    <w:uiPriority w:val="0"/>
    <w:rPr>
      <w:rFonts w:hint="eastAsia" w:ascii="宋体" w:hAnsi="宋体" w:eastAsia="宋体" w:cs="宋体"/>
      <w:color w:val="000000"/>
      <w:sz w:val="18"/>
      <w:szCs w:val="18"/>
      <w:u w:val="none"/>
    </w:rPr>
  </w:style>
  <w:style w:type="character" w:customStyle="1" w:styleId="55">
    <w:name w:val="font21"/>
    <w:basedOn w:val="25"/>
    <w:autoRedefine/>
    <w:qFormat/>
    <w:uiPriority w:val="0"/>
    <w:rPr>
      <w:rFonts w:hint="default" w:ascii="Arial" w:hAnsi="Arial" w:cs="Arial"/>
      <w:color w:val="000000"/>
      <w:sz w:val="20"/>
      <w:szCs w:val="20"/>
      <w:u w:val="none"/>
    </w:rPr>
  </w:style>
  <w:style w:type="paragraph" w:styleId="56">
    <w:name w:val="List Paragraph"/>
    <w:basedOn w:val="1"/>
    <w:autoRedefine/>
    <w:qFormat/>
    <w:uiPriority w:val="34"/>
    <w:pPr>
      <w:ind w:firstLine="420" w:firstLineChars="200"/>
    </w:pPr>
  </w:style>
  <w:style w:type="paragraph" w:customStyle="1" w:styleId="57">
    <w:name w:val="Char Char Char1 Char Char Char Char Char Char Char Char Char Char"/>
    <w:basedOn w:val="1"/>
    <w:autoRedefine/>
    <w:qFormat/>
    <w:uiPriority w:val="0"/>
    <w:rPr>
      <w:rFonts w:ascii="Tahoma" w:hAnsi="Tahoma"/>
      <w:sz w:val="24"/>
      <w:szCs w:val="20"/>
    </w:rPr>
  </w:style>
  <w:style w:type="paragraph" w:customStyle="1" w:styleId="58">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59">
    <w:name w:val="列出段落1"/>
    <w:basedOn w:val="1"/>
    <w:autoRedefine/>
    <w:qFormat/>
    <w:uiPriority w:val="0"/>
    <w:pPr>
      <w:ind w:firstLine="420" w:firstLineChars="200"/>
    </w:pPr>
    <w:rPr>
      <w:rFonts w:ascii="Calibri" w:hAnsi="Calibri"/>
      <w:szCs w:val="22"/>
    </w:rPr>
  </w:style>
  <w:style w:type="paragraph" w:customStyle="1" w:styleId="60">
    <w:name w:val="图"/>
    <w:basedOn w:val="1"/>
    <w:autoRedefine/>
    <w:qFormat/>
    <w:uiPriority w:val="0"/>
    <w:pPr>
      <w:keepNext/>
      <w:adjustRightInd w:val="0"/>
      <w:spacing w:before="60" w:after="60" w:line="300" w:lineRule="auto"/>
      <w:jc w:val="center"/>
      <w:textAlignment w:val="center"/>
    </w:pPr>
    <w:rPr>
      <w:snapToGrid w:val="0"/>
      <w:spacing w:val="20"/>
      <w:sz w:val="24"/>
    </w:rPr>
  </w:style>
  <w:style w:type="paragraph" w:customStyle="1" w:styleId="61">
    <w:name w:val="Char"/>
    <w:basedOn w:val="1"/>
    <w:autoRedefine/>
    <w:qFormat/>
    <w:uiPriority w:val="0"/>
    <w:pPr>
      <w:tabs>
        <w:tab w:val="left" w:pos="360"/>
      </w:tabs>
    </w:pPr>
    <w:rPr>
      <w:sz w:val="24"/>
    </w:rPr>
  </w:style>
  <w:style w:type="paragraph" w:customStyle="1" w:styleId="6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3">
    <w:name w:val="PlainText"/>
    <w:basedOn w:val="1"/>
    <w:autoRedefine/>
    <w:qFormat/>
    <w:uiPriority w:val="0"/>
    <w:rPr>
      <w:rFonts w:ascii="宋体" w:hAnsi="Courier New"/>
    </w:rPr>
  </w:style>
  <w:style w:type="paragraph" w:customStyle="1" w:styleId="64">
    <w:name w:val="材料标题"/>
    <w:basedOn w:val="1"/>
    <w:autoRedefine/>
    <w:qFormat/>
    <w:uiPriority w:val="0"/>
    <w:pPr>
      <w:adjustRightInd w:val="0"/>
      <w:snapToGrid w:val="0"/>
      <w:spacing w:line="700" w:lineRule="exact"/>
      <w:jc w:val="center"/>
    </w:pPr>
    <w:rPr>
      <w:rFonts w:ascii="方正小标宋简体" w:eastAsia="方正小标宋简体"/>
      <w:color w:val="000000"/>
      <w:sz w:val="44"/>
      <w:szCs w:val="44"/>
    </w:rPr>
  </w:style>
  <w:style w:type="paragraph" w:customStyle="1" w:styleId="65">
    <w:name w:val="成文日期"/>
    <w:basedOn w:val="1"/>
    <w:autoRedefine/>
    <w:qFormat/>
    <w:uiPriority w:val="0"/>
    <w:pPr>
      <w:ind w:right="400" w:rightChars="400"/>
      <w:jc w:val="right"/>
    </w:pPr>
  </w:style>
  <w:style w:type="paragraph" w:customStyle="1" w:styleId="66">
    <w:name w:val="List Paragraph1"/>
    <w:basedOn w:val="1"/>
    <w:autoRedefine/>
    <w:qFormat/>
    <w:uiPriority w:val="34"/>
    <w:pPr>
      <w:ind w:firstLine="420" w:firstLineChars="200"/>
    </w:pPr>
  </w:style>
  <w:style w:type="character" w:customStyle="1" w:styleId="67">
    <w:name w:val="font41"/>
    <w:basedOn w:val="25"/>
    <w:autoRedefine/>
    <w:qFormat/>
    <w:uiPriority w:val="0"/>
    <w:rPr>
      <w:rFonts w:hint="eastAsia" w:ascii="宋体" w:hAnsi="宋体" w:eastAsia="宋体" w:cs="宋体"/>
      <w:color w:val="000000"/>
      <w:sz w:val="21"/>
      <w:szCs w:val="21"/>
      <w:u w:val="none"/>
    </w:rPr>
  </w:style>
  <w:style w:type="character" w:customStyle="1" w:styleId="68">
    <w:name w:val="font51"/>
    <w:basedOn w:val="25"/>
    <w:autoRedefine/>
    <w:qFormat/>
    <w:uiPriority w:val="0"/>
    <w:rPr>
      <w:rFonts w:hint="eastAsia" w:ascii="仿宋" w:hAnsi="仿宋" w:eastAsia="仿宋" w:cs="仿宋"/>
      <w:color w:val="000000"/>
      <w:sz w:val="22"/>
      <w:szCs w:val="22"/>
      <w:u w:val="none"/>
    </w:rPr>
  </w:style>
  <w:style w:type="paragraph" w:customStyle="1" w:styleId="69">
    <w:name w:val="正文 A"/>
    <w:autoRedefine/>
    <w:qFormat/>
    <w:uiPriority w:val="99"/>
    <w:pPr>
      <w:widowControl w:val="0"/>
      <w:jc w:val="both"/>
    </w:pPr>
    <w:rPr>
      <w:rFonts w:ascii="宋体" w:hAnsi="宋体" w:eastAsia="宋体" w:cs="宋体"/>
      <w:color w:val="000000"/>
      <w:sz w:val="18"/>
      <w:szCs w:val="18"/>
      <w:lang w:val="en-US" w:eastAsia="zh-CN" w:bidi="ar-SA"/>
    </w:rPr>
  </w:style>
  <w:style w:type="paragraph" w:customStyle="1" w:styleId="70">
    <w:name w:val="段"/>
    <w:next w:val="1"/>
    <w:autoRedefine/>
    <w:qFormat/>
    <w:uiPriority w:val="0"/>
    <w:pPr>
      <w:autoSpaceDE w:val="0"/>
      <w:autoSpaceDN w:val="0"/>
      <w:ind w:firstLine="200"/>
      <w:jc w:val="both"/>
    </w:pPr>
    <w:rPr>
      <w:rFonts w:ascii="宋体" w:hAnsi="Calibri" w:eastAsia="宋体" w:cs="Times New Roman"/>
      <w:sz w:val="21"/>
      <w:lang w:val="en-US" w:eastAsia="zh-CN" w:bidi="ar-SA"/>
    </w:rPr>
  </w:style>
  <w:style w:type="paragraph" w:customStyle="1" w:styleId="71">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font61"/>
    <w:basedOn w:val="25"/>
    <w:autoRedefine/>
    <w:qFormat/>
    <w:uiPriority w:val="0"/>
    <w:rPr>
      <w:rFonts w:hint="eastAsia" w:ascii="宋体" w:hAnsi="宋体" w:eastAsia="宋体" w:cs="宋体"/>
      <w:color w:val="000000"/>
      <w:sz w:val="20"/>
      <w:szCs w:val="20"/>
      <w:u w:val="none"/>
    </w:rPr>
  </w:style>
  <w:style w:type="character" w:customStyle="1" w:styleId="73">
    <w:name w:val="font71"/>
    <w:basedOn w:val="25"/>
    <w:autoRedefine/>
    <w:qFormat/>
    <w:uiPriority w:val="0"/>
    <w:rPr>
      <w:rFonts w:hint="eastAsia" w:ascii="宋体" w:hAnsi="宋体" w:eastAsia="宋体" w:cs="宋体"/>
      <w:color w:val="000000"/>
      <w:sz w:val="20"/>
      <w:szCs w:val="20"/>
      <w:u w:val="none"/>
      <w:vertAlign w:val="superscript"/>
    </w:rPr>
  </w:style>
  <w:style w:type="paragraph" w:customStyle="1" w:styleId="74">
    <w:name w:val="图例"/>
    <w:basedOn w:val="1"/>
    <w:autoRedefine/>
    <w:qFormat/>
    <w:uiPriority w:val="0"/>
    <w:pPr>
      <w:spacing w:before="120" w:after="120" w:line="360" w:lineRule="auto"/>
      <w:jc w:val="center"/>
    </w:pPr>
    <w:rPr>
      <w:rFonts w:eastAsia="仿宋_GB2312"/>
      <w:b/>
      <w:sz w:val="24"/>
      <w:szCs w:val="20"/>
    </w:rPr>
  </w:style>
  <w:style w:type="character" w:customStyle="1" w:styleId="75">
    <w:name w:val="font11"/>
    <w:basedOn w:val="25"/>
    <w:autoRedefine/>
    <w:qFormat/>
    <w:uiPriority w:val="0"/>
    <w:rPr>
      <w:rFonts w:hint="eastAsia" w:ascii="仿宋" w:hAnsi="仿宋" w:eastAsia="仿宋" w:cs="仿宋"/>
      <w:b/>
      <w:bCs/>
      <w:color w:val="000000"/>
      <w:sz w:val="24"/>
      <w:szCs w:val="24"/>
      <w:u w:val="none"/>
    </w:rPr>
  </w:style>
  <w:style w:type="paragraph" w:customStyle="1" w:styleId="76">
    <w:name w:val="正文_1_0"/>
    <w:basedOn w:val="1"/>
    <w:autoRedefine/>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24427</Words>
  <Characters>25659</Characters>
  <Lines>197</Lines>
  <Paragraphs>55</Paragraphs>
  <TotalTime>80</TotalTime>
  <ScaleCrop>false</ScaleCrop>
  <LinksUpToDate>false</LinksUpToDate>
  <CharactersWithSpaces>26901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2021-08-10T02:08:00Z</dcterms:created>
  <dc:creator>Administrator</dc:creator>
  <cp:lastModifiedBy>左学文</cp:lastModifiedBy>
  <cp:lastPrinted>2024-04-17T00:47:00Z</cp:lastPrinted>
  <dcterms:modified xsi:type="dcterms:W3CDTF">2024-05-31T07:55:52Z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CDB1FE6BE7334F329F8EF901E8F20457_13</vt:lpwstr>
  </property>
</Properties>
</file>