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834F">
      <w:pPr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  <w:t>一、项目情况</w:t>
      </w:r>
    </w:p>
    <w:p w14:paraId="435D2D42">
      <w:pPr>
        <w:tabs>
          <w:tab w:val="left" w:pos="900"/>
        </w:tabs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经营项目：</w:t>
      </w:r>
    </w:p>
    <w:tbl>
      <w:tblPr>
        <w:tblStyle w:val="4"/>
        <w:tblpPr w:leftFromText="180" w:rightFromText="180" w:vertAnchor="text" w:horzAnchor="page" w:tblpX="1822" w:tblpY="139"/>
        <w:tblOverlap w:val="never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161"/>
        <w:gridCol w:w="4876"/>
      </w:tblGrid>
      <w:tr w14:paraId="4238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0" w:type="dxa"/>
            <w:noWrap w:val="0"/>
            <w:vAlign w:val="center"/>
          </w:tcPr>
          <w:p w14:paraId="064B5D60">
            <w:pPr>
              <w:pStyle w:val="6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2161" w:type="dxa"/>
            <w:noWrap w:val="0"/>
            <w:vAlign w:val="center"/>
          </w:tcPr>
          <w:p w14:paraId="019ECC92">
            <w:pPr>
              <w:pStyle w:val="6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4876" w:type="dxa"/>
            <w:noWrap w:val="0"/>
            <w:vAlign w:val="center"/>
          </w:tcPr>
          <w:p w14:paraId="2ED59ABA">
            <w:pPr>
              <w:pStyle w:val="6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经营内容</w:t>
            </w:r>
          </w:p>
        </w:tc>
      </w:tr>
      <w:tr w14:paraId="3683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890" w:type="dxa"/>
            <w:noWrap w:val="0"/>
            <w:vAlign w:val="center"/>
          </w:tcPr>
          <w:p w14:paraId="168A7752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61" w:type="dxa"/>
            <w:noWrap w:val="0"/>
            <w:vAlign w:val="center"/>
          </w:tcPr>
          <w:p w14:paraId="072B0D27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文印店</w:t>
            </w:r>
          </w:p>
        </w:tc>
        <w:tc>
          <w:tcPr>
            <w:tcW w:w="4876" w:type="dxa"/>
            <w:noWrap w:val="0"/>
            <w:vAlign w:val="center"/>
          </w:tcPr>
          <w:p w14:paraId="00327060">
            <w:pPr>
              <w:pStyle w:val="6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文印、打印等相关业务。</w:t>
            </w:r>
          </w:p>
        </w:tc>
      </w:tr>
      <w:tr w14:paraId="5A45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927" w:type="dxa"/>
            <w:gridSpan w:val="3"/>
            <w:noWrap w:val="0"/>
            <w:vAlign w:val="center"/>
          </w:tcPr>
          <w:p w14:paraId="5CA795A3">
            <w:pPr>
              <w:pStyle w:val="6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注意：未经得学校同意，严禁经营其他品种，不得经营国家明令禁止的项目。</w:t>
            </w:r>
          </w:p>
        </w:tc>
      </w:tr>
    </w:tbl>
    <w:p w14:paraId="4EBB5AD9">
      <w:pPr>
        <w:tabs>
          <w:tab w:val="left" w:pos="900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特别说明：</w:t>
      </w:r>
    </w:p>
    <w:p w14:paraId="324ED66E">
      <w:pPr>
        <w:tabs>
          <w:tab w:val="left" w:pos="900"/>
        </w:tabs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(1)所有项目严禁使用液化气、明火的制作方式。</w:t>
      </w:r>
    </w:p>
    <w:p w14:paraId="21119E8F">
      <w:pPr>
        <w:tabs>
          <w:tab w:val="left" w:pos="900"/>
        </w:tabs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(2)每个店铺已指定经营项目或在指定经营内容中选择其中一项。</w:t>
      </w:r>
    </w:p>
    <w:p w14:paraId="509CA293">
      <w:pPr>
        <w:tabs>
          <w:tab w:val="left" w:pos="900"/>
        </w:tabs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租赁期：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自2024年8月1日至2027年7月31日止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以实际签订时间为准），合同一年一签，如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在合同期内规范经营，年度综合管理评分达80分以上可续签一年，以此类推，年度综合管理评分达不到80分的，合同不予续签。</w:t>
      </w:r>
    </w:p>
    <w:p w14:paraId="43A0D835">
      <w:pPr>
        <w:tabs>
          <w:tab w:val="left" w:pos="900"/>
        </w:tabs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租金按一年12个月计算，交付方式为一年一付，先交付后使用房屋，具体起止时间按合同约定。</w:t>
      </w:r>
    </w:p>
    <w:p w14:paraId="1918F458">
      <w:pPr>
        <w:tabs>
          <w:tab w:val="left" w:pos="900"/>
        </w:tabs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具体位置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</w:p>
    <w:tbl>
      <w:tblPr>
        <w:tblStyle w:val="4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7336"/>
      </w:tblGrid>
      <w:tr w14:paraId="4079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4" w:type="dxa"/>
            <w:noWrap w:val="0"/>
            <w:vAlign w:val="center"/>
          </w:tcPr>
          <w:p w14:paraId="6CA2B1CD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highlight w:val="none"/>
              </w:rPr>
              <w:t>类别</w:t>
            </w:r>
          </w:p>
        </w:tc>
        <w:tc>
          <w:tcPr>
            <w:tcW w:w="7336" w:type="dxa"/>
            <w:noWrap w:val="0"/>
            <w:vAlign w:val="center"/>
          </w:tcPr>
          <w:p w14:paraId="13F3FA75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具体位置</w:t>
            </w:r>
          </w:p>
        </w:tc>
      </w:tr>
      <w:tr w14:paraId="3A71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noWrap w:val="0"/>
            <w:vAlign w:val="center"/>
          </w:tcPr>
          <w:p w14:paraId="4BF18A53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文印店</w:t>
            </w:r>
          </w:p>
        </w:tc>
        <w:tc>
          <w:tcPr>
            <w:tcW w:w="7336" w:type="dxa"/>
            <w:noWrap w:val="0"/>
            <w:vAlign w:val="center"/>
          </w:tcPr>
          <w:p w14:paraId="4B8AD417">
            <w:pPr>
              <w:tabs>
                <w:tab w:val="left" w:pos="900"/>
              </w:tabs>
              <w:spacing w:line="360" w:lineRule="auto"/>
              <w:ind w:firstLine="470" w:firstLineChars="196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对常州大学怀德学院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文印店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服务用房出租出借项目，本项目位于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常州大学怀德学院校内8号学生宿舍楼一楼，面积约81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平米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校区在校师生人数约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1.1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万人，详细情况可实地考察。</w:t>
            </w:r>
          </w:p>
        </w:tc>
      </w:tr>
    </w:tbl>
    <w:p w14:paraId="01CB235B">
      <w:p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22B9C752">
      <w:p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二、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服务要求</w:t>
      </w:r>
    </w:p>
    <w:p w14:paraId="787B02A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招租商铺，合同期内，如遇政府政策、学院规划调整需要拆除或调整该房屋用途时，院方可单方面终止租赁合同（院方提前20日通知承租方），租金按实际使用天数计算多退少补。承租方和院方互不承担违约责任，院方不承担承租方的任何损失（包含但不限于承租方装修、投资设备等一切费用）。承租期内，因学院规划调整导致的学生人数的增加或减少，风险由承租方自行测算，租金不做调整。</w:t>
      </w:r>
    </w:p>
    <w:p w14:paraId="34497B83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2.承租方应对房屋现有硬件设施、房屋状态做到充分的了解和实地考察，并认同房屋当前状态投标。如遇房屋漏水等维修事项，由承租方自行承担。</w:t>
      </w:r>
    </w:p>
    <w:p w14:paraId="0721FB96">
      <w:pPr>
        <w:pStyle w:val="6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3</w:t>
      </w:r>
      <w:r>
        <w:rPr>
          <w:rFonts w:hint="eastAsia" w:ascii="宋体" w:hAnsi="宋体" w:eastAsia="宋体" w:cs="宋体"/>
          <w:color w:val="auto"/>
          <w:kern w:val="2"/>
          <w:highlight w:val="none"/>
        </w:rPr>
        <w:t>.承租方必须合法自主经营，独立核算、自负盈亏，不得超范围经营。如承租方违法或违规经营，学院有权终止合同，一切损失由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承租方</w:t>
      </w:r>
      <w:r>
        <w:rPr>
          <w:rFonts w:hint="eastAsia" w:ascii="宋体" w:hAnsi="宋体" w:eastAsia="宋体" w:cs="宋体"/>
          <w:color w:val="auto"/>
          <w:kern w:val="2"/>
          <w:highlight w:val="none"/>
        </w:rPr>
        <w:t>承担。</w:t>
      </w:r>
    </w:p>
    <w:p w14:paraId="0D878F7D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4.承租方不得转租,一旦发现转租，立即终止合同，履约保证金全额扣除；如承租方中途停止经营，院方不承担任何责任，履约保证金全额扣除；承租方中途终止协议或协议结束院方不承担任何装修改造补偿费用。                  </w:t>
      </w:r>
    </w:p>
    <w:p w14:paraId="0688BF66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承租方对现有建筑装修改造方案须经院方批准同意，装修改造费用由承租方承担。租赁期满，承租方不得拆除装饰改造的固定附属物，固定附属物产权归院方所有，否则在履约保证金或经营收入中扣除。可移动物品由承租方自行处理。</w:t>
      </w:r>
    </w:p>
    <w:p w14:paraId="1699EEF8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6.成交后，学校对商铺进行全程监督和管理，承租方在经营过程中必须服从学校的统一管理。对出现的不配合导致管理不畅的，院方有权协同其它相关部门提请终止合作，重新选择合作单位，并保留追究赔偿责任的权力。</w:t>
      </w:r>
    </w:p>
    <w:p w14:paraId="56FE6B10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7.承租方必须严格按照磋商文件及相关承诺对商铺进行管理，未经过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出租方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的书面确认不得任意变更。 </w:t>
      </w:r>
    </w:p>
    <w:p w14:paraId="294C4B14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8.承租方须严格按照《劳动法》合法用工，发生劳动纠纷和意外事故，院方不承担连带责任。</w:t>
      </w:r>
    </w:p>
    <w:p w14:paraId="366B90CA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9.承租方需重视安全、消防安全等各项安全工作，如发生安全事故，院方不承担连带责任。</w:t>
      </w:r>
    </w:p>
    <w:p w14:paraId="5A895897">
      <w:p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其他要求</w:t>
      </w:r>
    </w:p>
    <w:p w14:paraId="38923B2E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学生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服务满意率应在90%以上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：对学生反映的意见要有友好专业的态度。</w:t>
      </w:r>
    </w:p>
    <w:p w14:paraId="700075D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.学生投诉意见处理率达到100%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：对学生投诉的问题要及时有效的反馈，友好的沟通协调，有效的投诉处理机制。</w:t>
      </w:r>
    </w:p>
    <w:p w14:paraId="13BDAE6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3.日常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安全卫生合格率达到100%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：包含店内、门前清洁的卫生环境、安全可靠的设施设备、灭火器的配备。</w:t>
      </w:r>
    </w:p>
    <w:p w14:paraId="13C3D8D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.管理服务范围内无安全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事故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：包含承租方所提供的产品和服务、设施设备、营业场所的安全管理、员工、店内的交易和支付等。</w:t>
      </w:r>
    </w:p>
    <w:p w14:paraId="63EB1D8F">
      <w:pPr>
        <w:spacing w:line="360" w:lineRule="auto"/>
        <w:ind w:firstLine="480" w:firstLineChars="200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.提供优质服务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：主动的态度和热情的服务、高效快捷的响应和处理能力、专业的服务技能、充分尊重客户需求和意见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85E1263">
      <w:p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、经营要求</w:t>
      </w:r>
    </w:p>
    <w:p w14:paraId="134E460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1.遵守国家和地方的法律法规、政策政令，遵守学校和公司的各项规章制度和现场管理法。</w:t>
      </w:r>
    </w:p>
    <w:p w14:paraId="0D89D75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2.租赁期间，不从事与营业执照经营范围不一致的活动，不得超越学校许可经营范围（禁止经营餐饮项目），不从事违法违规活动，租赁房不存放违禁物品等。</w:t>
      </w:r>
    </w:p>
    <w:p w14:paraId="6DCBA57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3.不转租或委托他人使用租赁房屋，不擅自改变租赁房屋的使用性质、房屋结构，不损坏房内设施及用品。</w:t>
      </w:r>
    </w:p>
    <w:p w14:paraId="2512D40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4.承租方必须严格按照本磋商文件、《租赁合同》和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出租方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的有关规定进行经营。</w:t>
      </w:r>
    </w:p>
    <w:p w14:paraId="39CC59C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5.商铺的店面广告牌必须按政府主管部门及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出租方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要求的尺寸制作，以确保校园周围环境的整体美观。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相关装修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（包括门头）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设计方案，需符合学院的整体布局及风格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。承租方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需提供效果图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，报学校同意后方可实施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。装修材料需符合国家环保和节能及各类安全要求；装修不得影响建筑物结构安全。所产生装修费用，合同解除时学校不负责补偿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。</w:t>
      </w:r>
    </w:p>
    <w:p w14:paraId="39777B9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6.风险责任承担及安全承诺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承租方必须对经营风险及安全责任作出明确承诺。</w:t>
      </w:r>
    </w:p>
    <w:p w14:paraId="73332C97">
      <w:pPr>
        <w:spacing w:line="360" w:lineRule="auto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highlight w:val="none"/>
        </w:rPr>
        <w:t>承租方需办理好国家承认的所有相关证件，如卫生许可证、相关经营人员健康证等，方可营业。</w:t>
      </w:r>
    </w:p>
    <w:p w14:paraId="24343BA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8.水、电费：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 w:bidi="ar"/>
        </w:rPr>
        <w:t>出租方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提供场地，负责将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水、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电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接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通至指定建设地点。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学校管理部门定期抄收水、电费，按用户计量表核算。按水费4.1元每吨，电费0.98元每度，如遇政府政策性调整从其规定。</w:t>
      </w:r>
    </w:p>
    <w:p w14:paraId="5A85DAC0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9.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安全隐患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：</w:t>
      </w:r>
    </w:p>
    <w:p w14:paraId="6B593604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a、治安安全：承租方须在开业前安装监控，要求监控录像能保存三个月以上。经营期间，出现的员工人身安全、劳动纠纷等均由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承租方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承担责任。</w:t>
      </w:r>
    </w:p>
    <w:p w14:paraId="66F35CA4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b、火灾安全：承租方需要加强消防安全措施。承租方须服从学校有关部门的管理，按照消防要求配备消防安全器材。</w:t>
      </w:r>
    </w:p>
    <w:p w14:paraId="54C91E21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c、用电安全：承租方要选择符合安全标准的电器设备和电线。</w:t>
      </w:r>
    </w:p>
    <w:p w14:paraId="02413C3B">
      <w:pPr>
        <w:pStyle w:val="2"/>
        <w:numPr>
          <w:ilvl w:val="0"/>
          <w:numId w:val="0"/>
        </w:numPr>
        <w:tabs>
          <w:tab w:val="left" w:pos="502"/>
        </w:tabs>
        <w:ind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本项目承租方严禁办理任何形式的预付卡业务。</w:t>
      </w:r>
    </w:p>
    <w:p w14:paraId="6C6B38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53F661BB"/>
    <w:rsid w:val="53F6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70"/>
    </w:pPr>
    <w:rPr>
      <w:sz w:val="24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2024-07-15T02:56:00Z</dcterms:created>
  <dc:creator>左学文</dc:creator>
  <cp:lastModifiedBy>左学文</cp:lastModifiedBy>
  <dcterms:modified xsi:type="dcterms:W3CDTF">2024-07-15T02:56:25Z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AB8CCB83876D4D34B7635F9CECB80C5B_11</vt:lpwstr>
  </property>
</Properties>
</file>