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71BF">
      <w:pPr>
        <w:spacing w:line="360" w:lineRule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一、项目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情况及需求：</w:t>
      </w:r>
    </w:p>
    <w:p w14:paraId="222F88AC">
      <w:pPr>
        <w:numPr>
          <w:ilvl w:val="-1"/>
          <w:numId w:val="0"/>
        </w:num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常州新运城市发展集团有限公司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下属子公司（除集团）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年度物料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与印刷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制作项目，包括常州新运城市发展集团有限公司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下属子公司及区受托管理公司（除集团）的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喷绘、画面类、展示道具类、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定制物料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物料及印刷制作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附件。</w:t>
      </w:r>
    </w:p>
    <w:p w14:paraId="381B7365">
      <w:pPr>
        <w:numPr>
          <w:ilvl w:val="-1"/>
          <w:numId w:val="0"/>
        </w:numPr>
        <w:spacing w:line="360" w:lineRule="auto"/>
        <w:ind w:firstLine="0" w:firstLineChars="0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二、采购清单及技术要求：</w:t>
      </w:r>
    </w:p>
    <w:p w14:paraId="3B70992F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另见附件清单</w:t>
      </w:r>
    </w:p>
    <w:p w14:paraId="26BA48AA">
      <w:pPr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、合同履行期限</w:t>
      </w:r>
    </w:p>
    <w:p w14:paraId="5E594153">
      <w:pPr>
        <w:spacing w:line="360" w:lineRule="auto"/>
        <w:ind w:firstLine="480" w:firstLineChars="200"/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合同签订后，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24"/>
          <w:szCs w:val="24"/>
          <w:highlight w:val="none"/>
          <w:lang w:val="en-US" w:eastAsia="zh-CN"/>
        </w:rPr>
        <w:t>招标人要求分批制作、供货、安装，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并通过招标人验收合格</w:t>
      </w: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57FC900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自合同签订之日起贰年，自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日到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Cs/>
          <w:color w:val="auto"/>
          <w:kern w:val="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4FE523F4">
      <w:pPr>
        <w:spacing w:line="360" w:lineRule="auto"/>
        <w:ind w:firstLine="48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/>
        </w:rPr>
        <w:t>贰年合同履行期到期，该合同自动终止，需另行招标。合同初期招标人按平均分配的原则分派任务，后期招标人有权依据各中标人实际履约的情况分派任务。对于严重不配合，履约情况差的，招标人有权将任务转派给其他中标人，也可无条件提前解除合同。</w:t>
      </w:r>
    </w:p>
    <w:p w14:paraId="45CE8814">
      <w:pPr>
        <w:numPr>
          <w:ilvl w:val="-1"/>
          <w:numId w:val="0"/>
        </w:numPr>
        <w:adjustRightInd/>
        <w:snapToGrid/>
        <w:spacing w:line="360" w:lineRule="auto"/>
        <w:jc w:val="left"/>
        <w:outlineLvl w:val="1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</w:rPr>
        <w:t>项目进度</w:t>
      </w:r>
    </w:p>
    <w:p w14:paraId="5AEC702E">
      <w:p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委托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进行的各项业务均应给予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合理的生产周期，如有变动，应及时书面通知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，双方协商认可后按新计划执行。但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必须满足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的时间要求。若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有紧急制作的需求，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须无条件配合，不得收取其他费用。</w:t>
      </w:r>
    </w:p>
    <w:p w14:paraId="4631E870">
      <w:pPr>
        <w:numPr>
          <w:ilvl w:val="-1"/>
          <w:numId w:val="0"/>
        </w:numPr>
        <w:adjustRightInd/>
        <w:snapToGrid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送报与确认方式</w:t>
      </w:r>
    </w:p>
    <w:p w14:paraId="0E997733">
      <w:pPr>
        <w:adjustRightInd w:val="0"/>
        <w:snapToGrid w:val="0"/>
        <w:spacing w:line="360" w:lineRule="auto"/>
        <w:ind w:firstLine="555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在各阶段规定期间内完成任务，取得阶段成果后送报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确定，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审定或要求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修定的时间，不在限定时间内，审定通过后，由联络人以书面形式予以确认，确认后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给予执行。</w:t>
      </w:r>
      <w:bookmarkStart w:id="0" w:name="OLE_LINK1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在合同履行期内，若招标人要求中标人先行配合提供部分小样的话，中标人必须无条件配合制作，小样费用招标人不单独支付，由投标人在投标报价时综合考虑。</w:t>
      </w:r>
      <w:bookmarkEnd w:id="0"/>
    </w:p>
    <w:p w14:paraId="19B35283">
      <w:pPr>
        <w:numPr>
          <w:ilvl w:val="-1"/>
          <w:numId w:val="0"/>
        </w:numPr>
        <w:adjustRightInd/>
        <w:snapToGrid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责任与义务</w:t>
      </w:r>
    </w:p>
    <w:p w14:paraId="4E4C7979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工作及时提供所需的各种材料和信息。</w:t>
      </w:r>
    </w:p>
    <w:p w14:paraId="14D49E28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各阶段成果提出指导性要求，并在审定通过后及时给予书面确认。</w:t>
      </w:r>
    </w:p>
    <w:p w14:paraId="6D11915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如就委托项目的内容、期限作出了原则性改变的决策，应及时通知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，并采取适当措施，便于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及时调整工作。</w:t>
      </w:r>
    </w:p>
    <w:p w14:paraId="5B30F8C5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有权在合同有效期内对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进行配合满意度评估，若出现多次物料安装、配送不及时的情况，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无条件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解除合同，因此发生的损失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应承担相应的责任与赔偿。</w:t>
      </w:r>
    </w:p>
    <w:p w14:paraId="307E484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有下列情形之一的，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有权解除本合同：</w:t>
      </w:r>
    </w:p>
    <w:p w14:paraId="265093C4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（1）未经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同意，擅自泄露委托内容、成果或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商业机密的；</w:t>
      </w:r>
    </w:p>
    <w:p w14:paraId="3C9B8D70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未及时响应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要求达 3 次（含）以上，且无正当理由的；</w:t>
      </w:r>
    </w:p>
    <w:p w14:paraId="606B4030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（3）无法交付令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满意的委托达 3 次（含）以上的。</w:t>
      </w:r>
    </w:p>
    <w:p w14:paraId="099142D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、在采购过程中有可能增加或者减少采购内容，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不得以任何理由拒绝或拖延。</w:t>
      </w:r>
    </w:p>
    <w:p w14:paraId="59DC6864">
      <w:pPr>
        <w:numPr>
          <w:ilvl w:val="-1"/>
          <w:numId w:val="0"/>
        </w:numPr>
        <w:adjustRightInd/>
        <w:snapToGrid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责任与义务</w:t>
      </w:r>
    </w:p>
    <w:p w14:paraId="4935715F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需派专人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身份证号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担任联系人，按计划完成各阶段任务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的指导性要求修改和完善各阶段成果。</w:t>
      </w:r>
    </w:p>
    <w:p w14:paraId="6F4F093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应在按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规定的时间内完成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所委托的工作。</w:t>
      </w:r>
    </w:p>
    <w:p w14:paraId="55D253E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3、对于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已完成的工作，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应对其质量负责，对于质量有瑕疵的产品应给予弥补，修复。</w:t>
      </w:r>
    </w:p>
    <w:p w14:paraId="218EE06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应对其生产的物料的安全防护、成品保护负责，应严格按安全操作规程进行操作，若出现因搭建过程中安全防护、成品保护不到位的情况出现安全事故（包括但不限于安装人员的意外伤亡、对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或第三人人身、财产造成的损害），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应负全部责任。</w:t>
      </w:r>
    </w:p>
    <w:p w14:paraId="408D3918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应对广告物料生产、安装过程中需要报批、报建的手续和费用负责。</w:t>
      </w:r>
    </w:p>
    <w:p w14:paraId="611CB028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应当遵守国家及地方的相关法规、政策，与员工签订劳动合同，缴纳社会保险，确保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职工相关权益，从而保证用工的合法性和人员相对稳定。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所派人员在施工中如发生工伤事故等一切责任及费用由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承担，与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无关。</w:t>
      </w:r>
    </w:p>
    <w:p w14:paraId="466F8E95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应按照法律规定及合同约定组织完成项目现场管理，确保项目质量和人员、设施安全，不进行违法转包，并在缺陷责任期及保修期内承担相应的项目维修责任。因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原因造成施工及保修期间出现项目质量、安全生产事故、工资拖欠的，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承担全部责任。</w:t>
      </w:r>
    </w:p>
    <w:p w14:paraId="3F24432F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工作人员遵守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的一切规章制度，不得进入与业务无关的区域，做与安装无关的事情。在安装及日常维护时应注意安全，不得损坏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设施，保持现场清洁卫生。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在安装过程中，对公共设施设备及其他器物有所损伤、毁坏的，必须无条件赔偿；如由于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的过错，导致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人员或第三方人员人身伤害的，由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承担全部赔偿责任及费用。</w:t>
      </w:r>
    </w:p>
    <w:p w14:paraId="417C18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要求制作物料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与印刷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小样，经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确认后方可大面积生产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。</w:t>
      </w:r>
    </w:p>
    <w:p w14:paraId="207B36A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2AE825E3"/>
    <w:rsid w:val="2AE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2024-09-29T11:21:00Z</dcterms:created>
  <dc:creator>左学文</dc:creator>
  <cp:lastModifiedBy>左学文</cp:lastModifiedBy>
  <dcterms:modified xsi:type="dcterms:W3CDTF">2024-09-29T11:22:12Z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9FB7711278EC4A6CA89D2EB6A8AD1A5F_11</vt:lpwstr>
  </property>
</Properties>
</file>