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C16DA">
      <w:pPr>
        <w:spacing w:line="500" w:lineRule="exact"/>
        <w:jc w:val="left"/>
        <w:rPr>
          <w:rFonts w:hint="eastAsia" w:ascii="仿宋" w:hAnsi="仿宋" w:eastAsia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一、项目内容</w:t>
      </w:r>
    </w:p>
    <w:p w14:paraId="037C4136">
      <w:pPr>
        <w:tabs>
          <w:tab w:val="left" w:pos="900"/>
        </w:tabs>
        <w:spacing w:line="360" w:lineRule="auto"/>
        <w:ind w:firstLine="480" w:firstLineChars="200"/>
        <w:rPr>
          <w:rFonts w:hint="eastAsia" w:ascii="仿宋" w:hAnsi="仿宋" w:eastAsia="仿宋"/>
          <w:sz w:val="24"/>
          <w:highlight w:val="none"/>
        </w:rPr>
      </w:pPr>
      <w:r>
        <w:rPr>
          <w:rFonts w:hint="eastAsia" w:ascii="仿宋" w:hAnsi="仿宋" w:eastAsia="仿宋"/>
          <w:sz w:val="24"/>
          <w:highlight w:val="none"/>
        </w:rPr>
        <w:t>常州大学怀德学院教职工公寓网络租赁服务项目，包括采购千兆教师公寓网络和网络电视服务。</w:t>
      </w:r>
    </w:p>
    <w:p w14:paraId="2F57C180">
      <w:pPr>
        <w:spacing w:line="360" w:lineRule="auto"/>
        <w:jc w:val="left"/>
        <w:outlineLvl w:val="0"/>
        <w:rPr>
          <w:rFonts w:hint="eastAsia" w:ascii="仿宋" w:hAnsi="仿宋" w:eastAsia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二、服务内容：</w:t>
      </w:r>
    </w:p>
    <w:tbl>
      <w:tblPr>
        <w:tblStyle w:val="2"/>
        <w:tblW w:w="9060" w:type="dxa"/>
        <w:tblInd w:w="4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3075"/>
        <w:gridCol w:w="4230"/>
        <w:gridCol w:w="945"/>
      </w:tblGrid>
      <w:tr w14:paraId="1E103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9F36D">
            <w:pPr>
              <w:snapToGrid w:val="0"/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>序号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80A16">
            <w:pPr>
              <w:snapToGrid w:val="0"/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>服务名称</w:t>
            </w:r>
          </w:p>
        </w:tc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93BE4">
            <w:pPr>
              <w:snapToGrid w:val="0"/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>技术要求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4117D">
            <w:pPr>
              <w:snapToGrid w:val="0"/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>数量</w:t>
            </w:r>
          </w:p>
        </w:tc>
      </w:tr>
      <w:tr w14:paraId="0BACB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D14E2">
            <w:pPr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1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0473F">
            <w:pPr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常州大学怀德学院教职工公寓网络和网络电视</w:t>
            </w:r>
          </w:p>
        </w:tc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B37AD">
            <w:pPr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为每间宿舍提供200M有线+无线WIFI、互联网电视，7*24小时免费维护服务。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D8BAC">
            <w:pPr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Cs w:val="22"/>
                <w:highlight w:val="none"/>
              </w:rPr>
              <w:t>528间</w:t>
            </w:r>
          </w:p>
        </w:tc>
      </w:tr>
    </w:tbl>
    <w:p w14:paraId="5DB51A52">
      <w:pPr>
        <w:spacing w:line="360" w:lineRule="auto"/>
        <w:jc w:val="left"/>
        <w:outlineLvl w:val="0"/>
        <w:rPr>
          <w:rFonts w:hint="eastAsia" w:ascii="仿宋" w:hAnsi="仿宋" w:eastAsia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三、教师公寓网络和网络电视安装房间清单：</w:t>
      </w:r>
    </w:p>
    <w:p w14:paraId="777E97AC">
      <w:pPr>
        <w:tabs>
          <w:tab w:val="left" w:pos="900"/>
        </w:tabs>
        <w:spacing w:line="360" w:lineRule="auto"/>
        <w:ind w:firstLine="435"/>
        <w:rPr>
          <w:rFonts w:ascii="仿宋" w:hAnsi="仿宋" w:eastAsia="仿宋"/>
          <w:color w:val="000000"/>
          <w:sz w:val="24"/>
          <w:highlight w:val="none"/>
        </w:rPr>
      </w:pPr>
      <w:r>
        <w:rPr>
          <w:rFonts w:hint="eastAsia" w:ascii="仿宋" w:hAnsi="仿宋" w:eastAsia="仿宋"/>
          <w:color w:val="000000"/>
          <w:sz w:val="24"/>
          <w:highlight w:val="none"/>
        </w:rPr>
        <w:t>具体如下：</w:t>
      </w:r>
    </w:p>
    <w:p w14:paraId="7D446240">
      <w:pPr>
        <w:numPr>
          <w:ilvl w:val="0"/>
          <w:numId w:val="0"/>
        </w:numPr>
        <w:tabs>
          <w:tab w:val="left" w:pos="900"/>
        </w:tabs>
        <w:spacing w:line="360" w:lineRule="auto"/>
        <w:ind w:firstLine="435" w:firstLineChars="0"/>
        <w:jc w:val="left"/>
        <w:outlineLvl w:val="9"/>
        <w:rPr>
          <w:rFonts w:hint="eastAsia" w:ascii="仿宋" w:hAnsi="仿宋" w:eastAsia="仿宋" w:cs="Times New Roman"/>
          <w:color w:val="000000"/>
          <w:kern w:val="2"/>
          <w:sz w:val="24"/>
          <w:highlight w:val="none"/>
        </w:rPr>
      </w:pPr>
      <w:r>
        <w:rPr>
          <w:rFonts w:hint="eastAsia" w:ascii="仿宋" w:hAnsi="仿宋" w:eastAsia="仿宋" w:cs="Times New Roman"/>
          <w:color w:val="000000"/>
          <w:kern w:val="2"/>
          <w:sz w:val="24"/>
          <w:highlight w:val="none"/>
        </w:rPr>
        <w:t>1号楼甲乙单元（共80间需安装）：</w:t>
      </w:r>
    </w:p>
    <w:p w14:paraId="0815736A">
      <w:pPr>
        <w:tabs>
          <w:tab w:val="left" w:pos="900"/>
        </w:tabs>
        <w:adjustRightInd/>
        <w:spacing w:line="360" w:lineRule="auto"/>
        <w:ind w:firstLine="435" w:firstLineChars="0"/>
        <w:jc w:val="left"/>
        <w:outlineLvl w:val="9"/>
        <w:rPr>
          <w:rFonts w:hint="eastAsia" w:ascii="仿宋" w:hAnsi="仿宋" w:eastAsia="仿宋" w:cs="Times New Roman"/>
          <w:color w:val="000000"/>
          <w:kern w:val="2"/>
          <w:sz w:val="24"/>
          <w:highlight w:val="none"/>
        </w:rPr>
      </w:pPr>
      <w:r>
        <w:rPr>
          <w:rFonts w:hint="eastAsia" w:ascii="仿宋" w:hAnsi="仿宋" w:eastAsia="仿宋" w:cs="Times New Roman"/>
          <w:color w:val="000000"/>
          <w:kern w:val="2"/>
          <w:sz w:val="24"/>
          <w:highlight w:val="none"/>
        </w:rPr>
        <w:t>1-201——1-208，1-301——1-308，1-401——1-408，1-501——1-508，1-601——1-608，1-701——1-708，1-801——1-808，1-901——1-908，1-1001——1-1008，1-1101——1-1108；</w:t>
      </w:r>
    </w:p>
    <w:p w14:paraId="51B24021">
      <w:pPr>
        <w:numPr>
          <w:ilvl w:val="0"/>
          <w:numId w:val="0"/>
        </w:numPr>
        <w:tabs>
          <w:tab w:val="left" w:pos="900"/>
        </w:tabs>
        <w:spacing w:line="360" w:lineRule="auto"/>
        <w:ind w:firstLine="435" w:firstLineChars="0"/>
        <w:jc w:val="left"/>
        <w:outlineLvl w:val="9"/>
        <w:rPr>
          <w:rFonts w:hint="eastAsia" w:ascii="仿宋" w:hAnsi="仿宋" w:eastAsia="仿宋" w:cs="Times New Roman"/>
          <w:color w:val="000000"/>
          <w:kern w:val="2"/>
          <w:sz w:val="24"/>
          <w:highlight w:val="none"/>
        </w:rPr>
      </w:pPr>
      <w:r>
        <w:rPr>
          <w:rFonts w:hint="eastAsia" w:ascii="仿宋" w:hAnsi="仿宋" w:eastAsia="仿宋" w:cs="Times New Roman"/>
          <w:color w:val="000000"/>
          <w:kern w:val="2"/>
          <w:sz w:val="24"/>
          <w:highlight w:val="none"/>
        </w:rPr>
        <w:t>2号楼甲乙单元（共87间需安装）：</w:t>
      </w:r>
    </w:p>
    <w:p w14:paraId="7239FD1C">
      <w:pPr>
        <w:tabs>
          <w:tab w:val="left" w:pos="900"/>
        </w:tabs>
        <w:adjustRightInd/>
        <w:spacing w:line="360" w:lineRule="auto"/>
        <w:ind w:firstLine="435" w:firstLineChars="0"/>
        <w:jc w:val="left"/>
        <w:outlineLvl w:val="9"/>
        <w:rPr>
          <w:rFonts w:hint="eastAsia" w:ascii="仿宋" w:hAnsi="仿宋" w:eastAsia="仿宋" w:cs="Times New Roman"/>
          <w:color w:val="000000"/>
          <w:kern w:val="2"/>
          <w:sz w:val="24"/>
          <w:highlight w:val="none"/>
        </w:rPr>
      </w:pPr>
      <w:r>
        <w:rPr>
          <w:rFonts w:hint="eastAsia" w:ascii="仿宋" w:hAnsi="仿宋" w:eastAsia="仿宋" w:cs="Times New Roman"/>
          <w:color w:val="000000"/>
          <w:kern w:val="2"/>
          <w:sz w:val="24"/>
          <w:highlight w:val="none"/>
        </w:rPr>
        <w:t>2-101，2-102，2-104——2-108；2-201——2-208，2-301——2-308，2-401——2-408，2-501——2-508，2-601——2-608，2-701——2-708，2-801——2-808，2-901——2-908，2-1001——2-1008，2-1101——2-1108；</w:t>
      </w:r>
    </w:p>
    <w:p w14:paraId="44745E03">
      <w:pPr>
        <w:numPr>
          <w:ilvl w:val="0"/>
          <w:numId w:val="0"/>
        </w:numPr>
        <w:tabs>
          <w:tab w:val="left" w:pos="900"/>
        </w:tabs>
        <w:spacing w:line="360" w:lineRule="auto"/>
        <w:ind w:firstLine="435" w:firstLineChars="0"/>
        <w:jc w:val="left"/>
        <w:outlineLvl w:val="9"/>
        <w:rPr>
          <w:rFonts w:hint="eastAsia" w:ascii="仿宋" w:hAnsi="仿宋" w:eastAsia="仿宋" w:cs="Times New Roman"/>
          <w:color w:val="000000"/>
          <w:kern w:val="2"/>
          <w:sz w:val="24"/>
          <w:highlight w:val="none"/>
        </w:rPr>
      </w:pPr>
      <w:r>
        <w:rPr>
          <w:rFonts w:hint="eastAsia" w:ascii="仿宋" w:hAnsi="仿宋" w:eastAsia="仿宋" w:cs="Times New Roman"/>
          <w:color w:val="000000"/>
          <w:kern w:val="2"/>
          <w:sz w:val="24"/>
          <w:highlight w:val="none"/>
        </w:rPr>
        <w:t>3号楼甲乙单元（共88间需安装）：</w:t>
      </w:r>
    </w:p>
    <w:p w14:paraId="32766E4F">
      <w:pPr>
        <w:tabs>
          <w:tab w:val="left" w:pos="900"/>
        </w:tabs>
        <w:adjustRightInd/>
        <w:spacing w:line="360" w:lineRule="auto"/>
        <w:ind w:firstLine="435" w:firstLineChars="0"/>
        <w:jc w:val="left"/>
        <w:outlineLvl w:val="9"/>
        <w:rPr>
          <w:rFonts w:hint="eastAsia" w:ascii="仿宋" w:hAnsi="仿宋" w:eastAsia="仿宋" w:cs="Times New Roman"/>
          <w:color w:val="000000"/>
          <w:kern w:val="2"/>
          <w:sz w:val="24"/>
          <w:highlight w:val="none"/>
        </w:rPr>
      </w:pPr>
      <w:r>
        <w:rPr>
          <w:rFonts w:hint="eastAsia" w:ascii="仿宋" w:hAnsi="仿宋" w:eastAsia="仿宋" w:cs="Times New Roman"/>
          <w:color w:val="000000"/>
          <w:kern w:val="2"/>
          <w:sz w:val="24"/>
          <w:highlight w:val="none"/>
        </w:rPr>
        <w:t>3-101——3-108，3-201——3-208，3-301——3-308，3-401——3-408，3-501——3-508，3-601——3-608，3-701——3-708，3-801——3-808，3-901——3-908，3-1001——3-1008，3-1101——3-1108；</w:t>
      </w:r>
    </w:p>
    <w:p w14:paraId="12F7DF73">
      <w:pPr>
        <w:numPr>
          <w:ilvl w:val="0"/>
          <w:numId w:val="0"/>
        </w:numPr>
        <w:tabs>
          <w:tab w:val="left" w:pos="900"/>
        </w:tabs>
        <w:spacing w:line="360" w:lineRule="auto"/>
        <w:ind w:firstLine="435" w:firstLineChars="0"/>
        <w:jc w:val="left"/>
        <w:outlineLvl w:val="9"/>
        <w:rPr>
          <w:rFonts w:hint="eastAsia" w:ascii="仿宋" w:hAnsi="仿宋" w:eastAsia="仿宋" w:cs="Times New Roman"/>
          <w:color w:val="000000"/>
          <w:kern w:val="2"/>
          <w:sz w:val="24"/>
          <w:highlight w:val="none"/>
        </w:rPr>
      </w:pPr>
      <w:r>
        <w:rPr>
          <w:rFonts w:hint="eastAsia" w:ascii="仿宋" w:hAnsi="仿宋" w:eastAsia="仿宋" w:cs="Times New Roman"/>
          <w:color w:val="000000"/>
          <w:kern w:val="2"/>
          <w:sz w:val="24"/>
          <w:highlight w:val="none"/>
        </w:rPr>
        <w:t>4号楼甲乙单元（共84间需安装）：</w:t>
      </w:r>
    </w:p>
    <w:p w14:paraId="310C0855">
      <w:pPr>
        <w:tabs>
          <w:tab w:val="left" w:pos="900"/>
        </w:tabs>
        <w:adjustRightInd/>
        <w:spacing w:line="360" w:lineRule="auto"/>
        <w:ind w:firstLine="435" w:firstLineChars="0"/>
        <w:jc w:val="left"/>
        <w:outlineLvl w:val="9"/>
        <w:rPr>
          <w:rFonts w:hint="eastAsia" w:ascii="仿宋" w:hAnsi="仿宋" w:eastAsia="仿宋" w:cs="Times New Roman"/>
          <w:color w:val="000000"/>
          <w:kern w:val="2"/>
          <w:sz w:val="24"/>
          <w:highlight w:val="none"/>
        </w:rPr>
      </w:pPr>
      <w:r>
        <w:rPr>
          <w:rFonts w:hint="eastAsia" w:ascii="仿宋" w:hAnsi="仿宋" w:eastAsia="仿宋" w:cs="Times New Roman"/>
          <w:color w:val="000000"/>
          <w:kern w:val="2"/>
          <w:sz w:val="24"/>
          <w:highlight w:val="none"/>
        </w:rPr>
        <w:t>4-102，4-105——4-108，4-201，4-202，4-204—4-208，4-301——4-308，4-401——4-408，4-501——4-508，4-601——4-608，4-701——4-708，4-801——4-808，4-901——4-908，4-1001——4-1008，4-1101——4-1108；</w:t>
      </w:r>
    </w:p>
    <w:p w14:paraId="0ED07284">
      <w:pPr>
        <w:numPr>
          <w:ilvl w:val="0"/>
          <w:numId w:val="0"/>
        </w:numPr>
        <w:tabs>
          <w:tab w:val="left" w:pos="900"/>
        </w:tabs>
        <w:spacing w:line="360" w:lineRule="auto"/>
        <w:ind w:firstLine="435" w:firstLineChars="0"/>
        <w:jc w:val="left"/>
        <w:outlineLvl w:val="9"/>
        <w:rPr>
          <w:rFonts w:hint="eastAsia" w:ascii="仿宋" w:hAnsi="仿宋" w:eastAsia="仿宋" w:cs="Times New Roman"/>
          <w:color w:val="000000"/>
          <w:kern w:val="2"/>
          <w:sz w:val="24"/>
          <w:highlight w:val="none"/>
        </w:rPr>
      </w:pPr>
      <w:r>
        <w:rPr>
          <w:rFonts w:hint="eastAsia" w:ascii="仿宋" w:hAnsi="仿宋" w:eastAsia="仿宋" w:cs="Times New Roman"/>
          <w:color w:val="000000"/>
          <w:kern w:val="2"/>
          <w:sz w:val="24"/>
          <w:highlight w:val="none"/>
        </w:rPr>
        <w:t>5号楼甲乙单元（共88间需安装）：</w:t>
      </w:r>
    </w:p>
    <w:p w14:paraId="568DD30D">
      <w:pPr>
        <w:tabs>
          <w:tab w:val="left" w:pos="900"/>
        </w:tabs>
        <w:adjustRightInd/>
        <w:spacing w:line="360" w:lineRule="auto"/>
        <w:ind w:firstLine="435" w:firstLineChars="0"/>
        <w:jc w:val="left"/>
        <w:outlineLvl w:val="9"/>
        <w:rPr>
          <w:rFonts w:hint="eastAsia" w:ascii="仿宋" w:hAnsi="仿宋" w:eastAsia="仿宋" w:cs="Times New Roman"/>
          <w:color w:val="000000"/>
          <w:kern w:val="2"/>
          <w:sz w:val="24"/>
          <w:highlight w:val="none"/>
        </w:rPr>
      </w:pPr>
      <w:r>
        <w:rPr>
          <w:rFonts w:hint="eastAsia" w:ascii="仿宋" w:hAnsi="仿宋" w:eastAsia="仿宋" w:cs="Times New Roman"/>
          <w:color w:val="000000"/>
          <w:kern w:val="2"/>
          <w:sz w:val="24"/>
          <w:highlight w:val="none"/>
        </w:rPr>
        <w:t>5-101——5-108，5-201——5-208，5-301——5-308，5-401——5-408，5-501——5-508，5-601——5-608，5-701——5-708，5-801——5-808，5-901——5-908，5-1001——5-1008，5-1101——5-1108；</w:t>
      </w:r>
    </w:p>
    <w:p w14:paraId="4F619758">
      <w:pPr>
        <w:numPr>
          <w:ilvl w:val="0"/>
          <w:numId w:val="0"/>
        </w:numPr>
        <w:tabs>
          <w:tab w:val="left" w:pos="900"/>
        </w:tabs>
        <w:spacing w:line="360" w:lineRule="auto"/>
        <w:ind w:firstLine="435" w:firstLineChars="0"/>
        <w:jc w:val="left"/>
        <w:outlineLvl w:val="9"/>
        <w:rPr>
          <w:rFonts w:hint="eastAsia" w:ascii="仿宋" w:hAnsi="仿宋" w:eastAsia="仿宋" w:cs="Times New Roman"/>
          <w:color w:val="000000"/>
          <w:kern w:val="2"/>
          <w:sz w:val="24"/>
          <w:highlight w:val="none"/>
        </w:rPr>
      </w:pPr>
      <w:r>
        <w:rPr>
          <w:rFonts w:hint="eastAsia" w:ascii="仿宋" w:hAnsi="仿宋" w:eastAsia="仿宋" w:cs="Times New Roman"/>
          <w:color w:val="000000"/>
          <w:kern w:val="2"/>
          <w:sz w:val="24"/>
          <w:highlight w:val="none"/>
        </w:rPr>
        <w:t>6号楼甲乙单元（共83间需安装）：</w:t>
      </w:r>
    </w:p>
    <w:p w14:paraId="05F256D2">
      <w:pPr>
        <w:tabs>
          <w:tab w:val="left" w:pos="900"/>
        </w:tabs>
        <w:spacing w:line="360" w:lineRule="auto"/>
        <w:ind w:firstLine="435"/>
        <w:jc w:val="left"/>
        <w:rPr>
          <w:rFonts w:hint="eastAsia" w:ascii="仿宋" w:hAnsi="仿宋" w:eastAsia="仿宋" w:cs="Times New Roman"/>
          <w:color w:val="000000"/>
          <w:sz w:val="24"/>
          <w:highlight w:val="none"/>
        </w:rPr>
      </w:pPr>
      <w:r>
        <w:rPr>
          <w:rFonts w:hint="eastAsia" w:ascii="仿宋" w:hAnsi="仿宋" w:eastAsia="仿宋" w:cs="Times New Roman"/>
          <w:color w:val="000000"/>
          <w:kern w:val="2"/>
          <w:sz w:val="24"/>
          <w:highlight w:val="none"/>
        </w:rPr>
        <w:t>6-101，6-103，6-104，6-201——6-208，6-301——6-308，6-401——6-408，6-501——6-508，6-601——6-608，6-701——6-708，6-801——6-808，6-901——6-908，6-1001——6-1008，6-1101——6-1108。</w:t>
      </w:r>
    </w:p>
    <w:p w14:paraId="3F935B29">
      <w:pPr>
        <w:tabs>
          <w:tab w:val="left" w:pos="900"/>
        </w:tabs>
        <w:spacing w:line="360" w:lineRule="auto"/>
        <w:ind w:firstLine="435"/>
        <w:rPr>
          <w:rFonts w:hint="eastAsia" w:ascii="仿宋" w:hAnsi="仿宋" w:eastAsia="仿宋" w:cs="Times New Roman"/>
          <w:color w:val="000000"/>
          <w:sz w:val="24"/>
          <w:highlight w:val="none"/>
        </w:rPr>
      </w:pPr>
      <w:r>
        <w:rPr>
          <w:rFonts w:hint="eastAsia" w:ascii="仿宋" w:hAnsi="仿宋" w:eastAsia="仿宋" w:cs="Times New Roman"/>
          <w:color w:val="000000"/>
          <w:sz w:val="24"/>
          <w:highlight w:val="none"/>
          <w:lang w:val="en-US" w:eastAsia="zh-CN"/>
        </w:rPr>
        <w:t>7</w:t>
      </w:r>
      <w:r>
        <w:rPr>
          <w:rFonts w:hint="eastAsia" w:ascii="仿宋" w:hAnsi="仿宋" w:eastAsia="仿宋" w:cs="Times New Roman"/>
          <w:color w:val="000000"/>
          <w:sz w:val="24"/>
          <w:highlight w:val="none"/>
        </w:rPr>
        <w:t>未安装网络房间（共18间）：</w:t>
      </w:r>
    </w:p>
    <w:p w14:paraId="563F5C79">
      <w:pPr>
        <w:tabs>
          <w:tab w:val="left" w:pos="900"/>
        </w:tabs>
        <w:spacing w:line="360" w:lineRule="auto"/>
        <w:ind w:firstLine="435"/>
        <w:rPr>
          <w:rFonts w:hint="eastAsia" w:ascii="仿宋" w:hAnsi="仿宋" w:eastAsia="仿宋"/>
          <w:b/>
          <w:bCs/>
          <w:color w:val="000000"/>
          <w:sz w:val="24"/>
          <w:highlight w:val="none"/>
        </w:rPr>
      </w:pPr>
      <w:r>
        <w:rPr>
          <w:rFonts w:hint="eastAsia" w:ascii="仿宋" w:hAnsi="仿宋" w:eastAsia="仿宋" w:cs="Times New Roman"/>
          <w:color w:val="000000"/>
          <w:sz w:val="24"/>
          <w:highlight w:val="none"/>
        </w:rPr>
        <w:t>1-101——1-108，2-103，4-101，4-103，4-104，4-203，6-102，6-105——6-108</w:t>
      </w:r>
    </w:p>
    <w:p w14:paraId="517EEFAD">
      <w:pPr>
        <w:spacing w:line="360" w:lineRule="auto"/>
        <w:jc w:val="left"/>
        <w:outlineLvl w:val="0"/>
        <w:rPr>
          <w:rFonts w:hint="eastAsia" w:ascii="仿宋" w:hAnsi="仿宋" w:eastAsia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四、安装期限：</w:t>
      </w:r>
    </w:p>
    <w:p w14:paraId="0DD802F9">
      <w:pPr>
        <w:tabs>
          <w:tab w:val="left" w:pos="900"/>
        </w:tabs>
        <w:spacing w:line="360" w:lineRule="auto"/>
        <w:ind w:firstLine="470" w:firstLineChars="196"/>
        <w:rPr>
          <w:rFonts w:hint="eastAsia" w:ascii="仿宋" w:hAnsi="仿宋" w:eastAsia="仿宋"/>
          <w:color w:val="000000"/>
          <w:sz w:val="24"/>
          <w:highlight w:val="none"/>
        </w:rPr>
      </w:pPr>
      <w:r>
        <w:rPr>
          <w:rFonts w:hint="eastAsia" w:ascii="仿宋" w:hAnsi="仿宋" w:eastAsia="仿宋"/>
          <w:color w:val="000000"/>
          <w:sz w:val="24"/>
          <w:highlight w:val="none"/>
        </w:rPr>
        <w:t>合同签订后15天内，完成网络安装，并调试验收完成。</w:t>
      </w:r>
    </w:p>
    <w:p w14:paraId="36AEC0FC">
      <w:pPr>
        <w:spacing w:line="360" w:lineRule="auto"/>
        <w:jc w:val="left"/>
        <w:outlineLvl w:val="0"/>
        <w:rPr>
          <w:rFonts w:hint="eastAsia" w:ascii="仿宋" w:hAnsi="仿宋" w:eastAsia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五、服务期限：</w:t>
      </w:r>
    </w:p>
    <w:p w14:paraId="13965474">
      <w:pPr>
        <w:tabs>
          <w:tab w:val="left" w:pos="900"/>
        </w:tabs>
        <w:spacing w:line="360" w:lineRule="auto"/>
        <w:ind w:left="408" w:leftChars="190" w:hanging="9" w:hangingChars="4"/>
        <w:rPr>
          <w:rFonts w:hint="eastAsia" w:ascii="仿宋" w:hAnsi="仿宋" w:eastAsia="仿宋"/>
          <w:color w:val="000000"/>
          <w:sz w:val="24"/>
          <w:highlight w:val="none"/>
        </w:rPr>
      </w:pPr>
      <w:r>
        <w:rPr>
          <w:rFonts w:hint="eastAsia" w:ascii="仿宋" w:hAnsi="仿宋" w:eastAsia="仿宋"/>
          <w:color w:val="000000"/>
          <w:sz w:val="24"/>
          <w:highlight w:val="none"/>
        </w:rPr>
        <w:t>2024.12.21至2027.12.20（三年），以实际签订时间为准，合同一年一签，经考核合格后予以续签。</w:t>
      </w:r>
    </w:p>
    <w:p w14:paraId="6638ED64">
      <w:pPr>
        <w:spacing w:line="360" w:lineRule="auto"/>
        <w:jc w:val="left"/>
        <w:outlineLvl w:val="0"/>
        <w:rPr>
          <w:rFonts w:hint="eastAsia" w:ascii="仿宋" w:hAnsi="仿宋" w:eastAsia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六、服务要求：</w:t>
      </w:r>
    </w:p>
    <w:p w14:paraId="115C9654">
      <w:pPr>
        <w:spacing w:line="360" w:lineRule="auto"/>
        <w:ind w:firstLine="480" w:firstLineChars="200"/>
        <w:jc w:val="left"/>
        <w:rPr>
          <w:rFonts w:ascii="仿宋" w:hAnsi="仿宋" w:eastAsia="仿宋"/>
          <w:sz w:val="24"/>
          <w:highlight w:val="none"/>
        </w:rPr>
      </w:pPr>
      <w:r>
        <w:rPr>
          <w:rFonts w:hint="eastAsia" w:ascii="仿宋" w:hAnsi="仿宋" w:eastAsia="仿宋"/>
          <w:sz w:val="24"/>
          <w:highlight w:val="none"/>
        </w:rPr>
        <w:t>1、须提供稳定、高速的网络连接，满足教职工日常工作和生活的上网需求，确保网络畅通无阻。</w:t>
      </w:r>
    </w:p>
    <w:p w14:paraId="493D7373">
      <w:pPr>
        <w:spacing w:line="360" w:lineRule="auto"/>
        <w:ind w:firstLine="480" w:firstLineChars="200"/>
        <w:jc w:val="left"/>
        <w:rPr>
          <w:rFonts w:ascii="仿宋" w:hAnsi="仿宋" w:eastAsia="仿宋"/>
          <w:sz w:val="24"/>
          <w:highlight w:val="none"/>
        </w:rPr>
      </w:pPr>
      <w:r>
        <w:rPr>
          <w:rFonts w:hint="eastAsia" w:ascii="仿宋" w:hAnsi="仿宋" w:eastAsia="仿宋"/>
          <w:sz w:val="24"/>
          <w:highlight w:val="none"/>
        </w:rPr>
        <w:t>2、网络连接必须具备良好的安全性，包括防火墙、防病毒软件等安全措施，以防范网络攻击和信息泄露的风险。</w:t>
      </w:r>
    </w:p>
    <w:p w14:paraId="792E7890">
      <w:pPr>
        <w:spacing w:line="360" w:lineRule="auto"/>
        <w:ind w:firstLine="480" w:firstLineChars="200"/>
        <w:jc w:val="left"/>
        <w:rPr>
          <w:rFonts w:ascii="仿宋" w:hAnsi="仿宋" w:eastAsia="仿宋"/>
          <w:sz w:val="24"/>
          <w:highlight w:val="none"/>
        </w:rPr>
      </w:pPr>
      <w:r>
        <w:rPr>
          <w:rFonts w:hint="eastAsia" w:ascii="仿宋" w:hAnsi="仿宋" w:eastAsia="仿宋"/>
          <w:sz w:val="24"/>
          <w:highlight w:val="none"/>
        </w:rPr>
        <w:t>3、提供高质量的网络设备，包括路由器、交换机、无线接入点等，以确保网络连接的质量和稳定性。</w:t>
      </w:r>
    </w:p>
    <w:p w14:paraId="7C5F3AFA">
      <w:pPr>
        <w:spacing w:line="360" w:lineRule="auto"/>
        <w:ind w:firstLine="480" w:firstLineChars="200"/>
        <w:jc w:val="left"/>
        <w:rPr>
          <w:rFonts w:ascii="仿宋" w:hAnsi="仿宋" w:eastAsia="仿宋"/>
          <w:sz w:val="24"/>
          <w:highlight w:val="none"/>
        </w:rPr>
      </w:pPr>
      <w:r>
        <w:rPr>
          <w:rFonts w:hint="eastAsia" w:ascii="仿宋" w:hAnsi="仿宋" w:eastAsia="仿宋"/>
          <w:sz w:val="24"/>
          <w:highlight w:val="none"/>
        </w:rPr>
        <w:t>4、设立专业的技术支持团队，提供教职工在网络使用过程中的技术支持和解决问题的服务，保障网络服务的顺畅运行。</w:t>
      </w:r>
    </w:p>
    <w:p w14:paraId="4AABA4B4">
      <w:pPr>
        <w:spacing w:line="360" w:lineRule="auto"/>
        <w:ind w:firstLine="480" w:firstLineChars="200"/>
        <w:jc w:val="left"/>
        <w:rPr>
          <w:rFonts w:ascii="仿宋" w:hAnsi="仿宋" w:eastAsia="仿宋"/>
          <w:sz w:val="24"/>
          <w:highlight w:val="none"/>
        </w:rPr>
      </w:pPr>
      <w:r>
        <w:rPr>
          <w:rFonts w:hint="eastAsia" w:ascii="仿宋" w:hAnsi="仿宋" w:eastAsia="仿宋"/>
          <w:sz w:val="24"/>
          <w:highlight w:val="none"/>
        </w:rPr>
        <w:t>5、提供丰富多样的网络电视节目，包括新闻、娱乐、文化等内容，以满足教职工的娱乐需求。</w:t>
      </w:r>
    </w:p>
    <w:p w14:paraId="7187BF93">
      <w:pPr>
        <w:spacing w:line="360" w:lineRule="auto"/>
        <w:ind w:firstLine="480" w:firstLineChars="200"/>
        <w:jc w:val="left"/>
        <w:outlineLvl w:val="0"/>
        <w:rPr>
          <w:rFonts w:hint="eastAsia" w:ascii="仿宋" w:hAnsi="仿宋" w:eastAsia="仿宋"/>
          <w:sz w:val="24"/>
          <w:highlight w:val="none"/>
        </w:rPr>
      </w:pPr>
      <w:r>
        <w:rPr>
          <w:rFonts w:hint="eastAsia" w:ascii="仿宋" w:hAnsi="仿宋" w:eastAsia="仿宋"/>
          <w:sz w:val="24"/>
          <w:highlight w:val="none"/>
        </w:rPr>
        <w:t>6、须关注教职工对网络服务的反馈和需求，不断改进和优化服务，提升用户体验，包括提供高清晰度的网络电视节目，提高观看体验。</w:t>
      </w:r>
    </w:p>
    <w:p w14:paraId="50273C0D">
      <w:pPr>
        <w:spacing w:line="360" w:lineRule="auto"/>
        <w:jc w:val="left"/>
        <w:outlineLvl w:val="0"/>
        <w:rPr>
          <w:rFonts w:hint="eastAsia" w:ascii="仿宋" w:hAnsi="仿宋" w:eastAsia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七、承包方式：</w:t>
      </w:r>
      <w:r>
        <w:rPr>
          <w:rFonts w:hint="eastAsia" w:ascii="仿宋" w:hAnsi="仿宋" w:eastAsia="仿宋" w:cs="Times New Roman"/>
          <w:color w:val="000000"/>
          <w:sz w:val="24"/>
          <w:highlight w:val="none"/>
        </w:rPr>
        <w:t>固定综合单价</w:t>
      </w:r>
    </w:p>
    <w:p w14:paraId="2C4E6C2C">
      <w:pPr>
        <w:spacing w:line="360" w:lineRule="auto"/>
        <w:jc w:val="left"/>
        <w:outlineLvl w:val="0"/>
        <w:rPr>
          <w:rFonts w:hint="eastAsia" w:ascii="仿宋" w:hAnsi="仿宋" w:eastAsia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八、报价要求：</w:t>
      </w:r>
    </w:p>
    <w:p w14:paraId="14071D52">
      <w:pPr>
        <w:spacing w:line="360" w:lineRule="auto"/>
        <w:ind w:firstLine="480" w:firstLineChars="200"/>
        <w:jc w:val="left"/>
        <w:rPr>
          <w:rFonts w:ascii="仿宋" w:hAnsi="仿宋" w:eastAsia="仿宋"/>
          <w:sz w:val="24"/>
          <w:highlight w:val="none"/>
        </w:rPr>
      </w:pPr>
      <w:r>
        <w:rPr>
          <w:rFonts w:hint="eastAsia" w:ascii="仿宋" w:hAnsi="仿宋" w:eastAsia="仿宋"/>
          <w:sz w:val="24"/>
          <w:highlight w:val="none"/>
        </w:rPr>
        <w:t>本项目报价应包括采购范围相应服务所需服务费、人员费用、产品升级费用、保险、劳保、管理、各种税费、利润、税金、政策性文件规定及合同包含的所有风险、责任等各项应有费用以及为完成该项目所涉及到的一切相关费用，采购人不再支付其他任何费用。</w:t>
      </w:r>
    </w:p>
    <w:p w14:paraId="47FEBE4E">
      <w:pPr>
        <w:spacing w:line="360" w:lineRule="auto"/>
        <w:ind w:firstLine="480" w:firstLineChars="200"/>
        <w:jc w:val="left"/>
        <w:rPr>
          <w:rFonts w:ascii="仿宋" w:hAnsi="仿宋" w:eastAsia="仿宋"/>
          <w:sz w:val="24"/>
          <w:highlight w:val="none"/>
        </w:rPr>
      </w:pPr>
      <w:r>
        <w:rPr>
          <w:rFonts w:hint="eastAsia" w:ascii="仿宋" w:hAnsi="仿宋" w:eastAsia="仿宋"/>
          <w:sz w:val="24"/>
          <w:highlight w:val="none"/>
        </w:rPr>
        <w:t>本项目预算价格以教师公寓5</w:t>
      </w:r>
      <w:r>
        <w:rPr>
          <w:rFonts w:ascii="仿宋" w:hAnsi="仿宋" w:eastAsia="仿宋"/>
          <w:sz w:val="24"/>
          <w:highlight w:val="none"/>
        </w:rPr>
        <w:t>28</w:t>
      </w:r>
      <w:r>
        <w:rPr>
          <w:rFonts w:hint="eastAsia" w:ascii="仿宋" w:hAnsi="仿宋" w:eastAsia="仿宋"/>
          <w:sz w:val="24"/>
          <w:highlight w:val="none"/>
        </w:rPr>
        <w:t>间房间总数计算，每年合同签订和实际支付金额以具体开通网络的房间数为准。</w:t>
      </w:r>
    </w:p>
    <w:p w14:paraId="464F132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5D7489"/>
    <w:rsid w:val="5D5D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2024-12-19T17:12:00Z</dcterms:created>
  <dc:creator>左</dc:creator>
  <cp:lastModifiedBy>左</cp:lastModifiedBy>
  <dcterms:modified xsi:type="dcterms:W3CDTF">2024-12-19T17:12:49Z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48AE2448B98F4B6188E732827B82B6A4_11</vt:lpwstr>
  </property>
</Properties>
</file>