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10D69">
      <w:pPr>
        <w:spacing w:line="360" w:lineRule="auto"/>
        <w:ind w:firstLine="160"/>
        <w:rPr>
          <w:rFonts w:ascii="CESI黑体-GB2312" w:hAnsi="CESI黑体-GB2312" w:eastAsia="CESI黑体-GB2312" w:cs="CESI黑体-GB2312"/>
          <w:color w:val="auto"/>
          <w:sz w:val="32"/>
          <w:szCs w:val="32"/>
          <w:highlight w:val="none"/>
        </w:rPr>
      </w:pPr>
    </w:p>
    <w:p w14:paraId="7DA1AADE">
      <w:pPr>
        <w:spacing w:line="360" w:lineRule="auto"/>
        <w:ind w:firstLine="300"/>
        <w:rPr>
          <w:color w:val="auto"/>
          <w:sz w:val="60"/>
          <w:szCs w:val="60"/>
          <w:highlight w:val="none"/>
        </w:rPr>
      </w:pPr>
    </w:p>
    <w:p w14:paraId="185FCA2E">
      <w:pPr>
        <w:jc w:val="center"/>
        <w:outlineLvl w:val="0"/>
        <w:rPr>
          <w:b/>
          <w:bCs/>
          <w:color w:val="auto"/>
          <w:sz w:val="60"/>
          <w:szCs w:val="60"/>
          <w:highlight w:val="none"/>
        </w:rPr>
      </w:pPr>
      <w:bookmarkStart w:id="0" w:name="_Toc13081"/>
      <w:r>
        <w:rPr>
          <w:b/>
          <w:bCs/>
          <w:color w:val="auto"/>
          <w:sz w:val="60"/>
          <w:szCs w:val="60"/>
          <w:highlight w:val="none"/>
        </w:rPr>
        <w:t>常州市政府采购项目</w:t>
      </w:r>
      <w:bookmarkEnd w:id="0"/>
    </w:p>
    <w:p w14:paraId="3892BB13">
      <w:pPr>
        <w:spacing w:line="360" w:lineRule="auto"/>
        <w:jc w:val="center"/>
        <w:rPr>
          <w:b/>
          <w:bCs/>
          <w:color w:val="auto"/>
          <w:sz w:val="60"/>
          <w:szCs w:val="60"/>
          <w:highlight w:val="none"/>
        </w:rPr>
      </w:pPr>
    </w:p>
    <w:p w14:paraId="1B38303F">
      <w:pPr>
        <w:spacing w:line="360" w:lineRule="auto"/>
        <w:jc w:val="center"/>
        <w:outlineLvl w:val="0"/>
        <w:rPr>
          <w:rFonts w:ascii="宋体" w:hAnsi="宋体"/>
          <w:b/>
          <w:bCs/>
          <w:color w:val="auto"/>
          <w:sz w:val="60"/>
          <w:szCs w:val="60"/>
          <w:highlight w:val="none"/>
        </w:rPr>
      </w:pPr>
      <w:bookmarkStart w:id="1" w:name="_Toc13738"/>
      <w:r>
        <w:rPr>
          <w:b/>
          <w:bCs/>
          <w:color w:val="auto"/>
          <w:sz w:val="60"/>
          <w:szCs w:val="60"/>
          <w:highlight w:val="none"/>
        </w:rPr>
        <w:t>竞争性磋商文件</w:t>
      </w:r>
      <w:bookmarkEnd w:id="1"/>
    </w:p>
    <w:p w14:paraId="566F7CC6">
      <w:pPr>
        <w:spacing w:line="360" w:lineRule="auto"/>
        <w:jc w:val="center"/>
        <w:rPr>
          <w:rFonts w:ascii="宋体" w:hAnsi="宋体"/>
          <w:b/>
          <w:bCs/>
          <w:color w:val="auto"/>
          <w:sz w:val="60"/>
          <w:szCs w:val="60"/>
          <w:highlight w:val="none"/>
        </w:rPr>
      </w:pPr>
    </w:p>
    <w:p w14:paraId="55053CC5">
      <w:pPr>
        <w:spacing w:line="360" w:lineRule="auto"/>
        <w:ind w:firstLine="0"/>
        <w:rPr>
          <w:rFonts w:hint="eastAsia"/>
          <w:bCs/>
          <w:color w:val="auto"/>
          <w:sz w:val="36"/>
          <w:szCs w:val="36"/>
          <w:highlight w:val="none"/>
          <w:lang w:eastAsia="zh-CN"/>
        </w:rPr>
      </w:pPr>
      <w:r>
        <w:rPr>
          <w:bCs/>
          <w:color w:val="auto"/>
          <w:sz w:val="36"/>
          <w:szCs w:val="36"/>
          <w:highlight w:val="none"/>
        </w:rPr>
        <w:t>项目名称：</w:t>
      </w:r>
      <w:r>
        <w:rPr>
          <w:rFonts w:hint="eastAsia"/>
          <w:bCs/>
          <w:color w:val="auto"/>
          <w:sz w:val="36"/>
          <w:szCs w:val="36"/>
          <w:highlight w:val="none"/>
          <w:lang w:eastAsia="zh-CN"/>
        </w:rPr>
        <w:t>感统训练技术人才引进项目（二次）</w:t>
      </w:r>
    </w:p>
    <w:p w14:paraId="2D9BECBE">
      <w:pPr>
        <w:spacing w:line="360" w:lineRule="auto"/>
        <w:ind w:firstLine="0"/>
        <w:rPr>
          <w:rFonts w:hint="eastAsia" w:ascii="宋体" w:hAnsi="宋体" w:cs="宋体"/>
          <w:color w:val="auto"/>
          <w:sz w:val="36"/>
          <w:szCs w:val="36"/>
          <w:highlight w:val="none"/>
          <w:lang w:eastAsia="zh-CN"/>
        </w:rPr>
      </w:pPr>
      <w:r>
        <w:rPr>
          <w:bCs/>
          <w:color w:val="auto"/>
          <w:sz w:val="36"/>
          <w:szCs w:val="36"/>
          <w:highlight w:val="none"/>
        </w:rPr>
        <w:t>项目编号：</w:t>
      </w:r>
      <w:r>
        <w:rPr>
          <w:rFonts w:hint="eastAsia" w:ascii="宋体" w:hAnsi="宋体" w:cs="宋体"/>
          <w:color w:val="auto"/>
          <w:sz w:val="36"/>
          <w:szCs w:val="36"/>
          <w:highlight w:val="none"/>
          <w:lang w:eastAsia="zh-CN"/>
        </w:rPr>
        <w:t>JSZC-320412-CZZY-C2025-0050</w:t>
      </w:r>
    </w:p>
    <w:p w14:paraId="6FFA2D57">
      <w:pPr>
        <w:spacing w:line="360" w:lineRule="auto"/>
        <w:ind w:firstLine="0"/>
        <w:rPr>
          <w:rFonts w:hint="eastAsia"/>
          <w:bCs/>
          <w:color w:val="auto"/>
          <w:sz w:val="36"/>
          <w:szCs w:val="36"/>
          <w:highlight w:val="none"/>
          <w:lang w:eastAsia="zh-CN"/>
        </w:rPr>
      </w:pPr>
      <w:r>
        <w:rPr>
          <w:bCs/>
          <w:color w:val="auto"/>
          <w:sz w:val="36"/>
          <w:szCs w:val="36"/>
          <w:highlight w:val="none"/>
        </w:rPr>
        <w:t>采 购 人：</w:t>
      </w:r>
      <w:r>
        <w:rPr>
          <w:rFonts w:hint="eastAsia"/>
          <w:bCs/>
          <w:color w:val="auto"/>
          <w:sz w:val="36"/>
          <w:szCs w:val="36"/>
          <w:highlight w:val="none"/>
          <w:lang w:eastAsia="zh-CN"/>
        </w:rPr>
        <w:t>常州市武进区妇幼保健计划生育服务中心</w:t>
      </w:r>
    </w:p>
    <w:p w14:paraId="015F5BA8">
      <w:pPr>
        <w:spacing w:line="360" w:lineRule="auto"/>
        <w:ind w:firstLine="0"/>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bCs/>
          <w:color w:val="auto"/>
          <w:sz w:val="36"/>
          <w:szCs w:val="36"/>
          <w:highlight w:val="none"/>
        </w:rPr>
        <w:t>常州中宇建设工程管理有限公司</w:t>
      </w:r>
    </w:p>
    <w:p w14:paraId="67B614FB">
      <w:pPr>
        <w:pStyle w:val="443"/>
        <w:spacing w:line="360" w:lineRule="auto"/>
        <w:rPr>
          <w:rFonts w:ascii="Times New Roman" w:hAnsi="Times New Roman" w:cs="Times New Roman"/>
          <w:color w:val="auto"/>
          <w:sz w:val="32"/>
          <w:szCs w:val="32"/>
          <w:highlight w:val="none"/>
        </w:rPr>
      </w:pPr>
    </w:p>
    <w:p w14:paraId="719E8254">
      <w:pPr>
        <w:widowControl/>
        <w:jc w:val="left"/>
        <w:rPr>
          <w:color w:val="auto"/>
          <w:sz w:val="24"/>
          <w:highlight w:val="none"/>
        </w:rPr>
      </w:pPr>
      <w:r>
        <w:rPr>
          <w:color w:val="auto"/>
          <w:highlight w:val="none"/>
        </w:rPr>
        <w:br w:type="page" w:clear="all"/>
      </w:r>
    </w:p>
    <w:p w14:paraId="33B60E9E">
      <w:pPr>
        <w:pStyle w:val="443"/>
        <w:spacing w:line="360" w:lineRule="auto"/>
        <w:rPr>
          <w:rFonts w:ascii="Times New Roman" w:hAnsi="Times New Roman" w:cs="Times New Roman"/>
          <w:color w:val="auto"/>
          <w:highlight w:val="none"/>
        </w:rPr>
      </w:pPr>
    </w:p>
    <w:p w14:paraId="7BF0AD12">
      <w:pPr>
        <w:spacing w:line="360" w:lineRule="auto"/>
        <w:jc w:val="center"/>
        <w:outlineLvl w:val="0"/>
        <w:rPr>
          <w:b/>
          <w:color w:val="auto"/>
          <w:sz w:val="36"/>
          <w:szCs w:val="36"/>
          <w:highlight w:val="none"/>
        </w:rPr>
      </w:pPr>
      <w:bookmarkStart w:id="2" w:name="_Toc104818924"/>
      <w:bookmarkStart w:id="3" w:name="_Toc31468"/>
      <w:r>
        <w:rPr>
          <w:rFonts w:hint="eastAsia"/>
          <w:b/>
          <w:color w:val="auto"/>
          <w:sz w:val="36"/>
          <w:szCs w:val="36"/>
          <w:highlight w:val="none"/>
        </w:rPr>
        <w:t>目录</w:t>
      </w:r>
      <w:bookmarkEnd w:id="2"/>
      <w:bookmarkEnd w:id="3"/>
    </w:p>
    <w:p w14:paraId="02BA5A90">
      <w:pPr>
        <w:rPr>
          <w:color w:val="auto"/>
          <w:highlight w:val="none"/>
        </w:rPr>
      </w:pPr>
    </w:p>
    <w:p w14:paraId="6C29C986">
      <w:pPr>
        <w:rPr>
          <w:color w:val="auto"/>
          <w:highlight w:val="none"/>
        </w:rPr>
      </w:pPr>
    </w:p>
    <w:p w14:paraId="00F64D87">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TOC \o "1-1" \h \u </w:instrText>
      </w:r>
      <w:r>
        <w:rPr>
          <w:color w:val="auto"/>
          <w:sz w:val="24"/>
          <w:szCs w:val="24"/>
          <w:highlight w:val="none"/>
        </w:rPr>
        <w:fldChar w:fldCharType="separate"/>
      </w:r>
    </w:p>
    <w:p w14:paraId="58C88BC5">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"_Toc1906" </w:instrText>
      </w:r>
      <w:r>
        <w:rPr>
          <w:color w:val="auto"/>
          <w:sz w:val="24"/>
          <w:szCs w:val="24"/>
          <w:highlight w:val="none"/>
        </w:rPr>
        <w:fldChar w:fldCharType="separate"/>
      </w:r>
      <w:r>
        <w:rPr>
          <w:color w:val="auto"/>
          <w:sz w:val="24"/>
          <w:szCs w:val="24"/>
          <w:highlight w:val="none"/>
        </w:rPr>
        <w:t xml:space="preserve">第一章   </w:t>
      </w:r>
      <w:r>
        <w:rPr>
          <w:rFonts w:hint="eastAsia" w:ascii="宋体" w:hAnsi="宋体" w:cs="宋体"/>
          <w:color w:val="auto"/>
          <w:sz w:val="24"/>
          <w:szCs w:val="24"/>
          <w:highlight w:val="none"/>
        </w:rPr>
        <w:t>采购邀请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_Toc1906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1EEBEAB1">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"_Toc18300" </w:instrText>
      </w:r>
      <w:r>
        <w:rPr>
          <w:color w:val="auto"/>
          <w:sz w:val="24"/>
          <w:szCs w:val="24"/>
          <w:highlight w:val="none"/>
        </w:rPr>
        <w:fldChar w:fldCharType="separate"/>
      </w:r>
      <w:r>
        <w:rPr>
          <w:color w:val="auto"/>
          <w:sz w:val="24"/>
          <w:szCs w:val="24"/>
          <w:highlight w:val="none"/>
        </w:rPr>
        <w:t>第二章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_Toc18300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14:paraId="1005339F">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"_Toc15679" </w:instrText>
      </w:r>
      <w:r>
        <w:rPr>
          <w:color w:val="auto"/>
          <w:sz w:val="24"/>
          <w:szCs w:val="24"/>
          <w:highlight w:val="none"/>
        </w:rPr>
        <w:fldChar w:fldCharType="separate"/>
      </w:r>
      <w:r>
        <w:rPr>
          <w:color w:val="auto"/>
          <w:sz w:val="24"/>
          <w:szCs w:val="24"/>
          <w:highlight w:val="none"/>
        </w:rPr>
        <w:t>第三章   评审</w:t>
      </w:r>
      <w:r>
        <w:rPr>
          <w:rFonts w:hint="eastAsia"/>
          <w:color w:val="auto"/>
          <w:sz w:val="24"/>
          <w:szCs w:val="24"/>
          <w:highlight w:val="none"/>
        </w:rPr>
        <w:t>程序、评审</w:t>
      </w:r>
      <w:r>
        <w:rPr>
          <w:color w:val="auto"/>
          <w:sz w:val="24"/>
          <w:szCs w:val="24"/>
          <w:highlight w:val="none"/>
        </w:rPr>
        <w:t>方法和评审标准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_Toc15679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14:paraId="2D3F6A02">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"_Toc14920" </w:instrText>
      </w:r>
      <w:r>
        <w:rPr>
          <w:color w:val="auto"/>
          <w:sz w:val="24"/>
          <w:szCs w:val="24"/>
          <w:highlight w:val="none"/>
        </w:rPr>
        <w:fldChar w:fldCharType="separate"/>
      </w:r>
      <w:r>
        <w:rPr>
          <w:rFonts w:hint="eastAsia"/>
          <w:color w:val="auto"/>
          <w:sz w:val="24"/>
          <w:szCs w:val="24"/>
          <w:highlight w:val="none"/>
        </w:rPr>
        <w:t xml:space="preserve">第四章 </w:t>
      </w:r>
      <w:r>
        <w:rPr>
          <w:color w:val="auto"/>
          <w:sz w:val="24"/>
          <w:szCs w:val="24"/>
          <w:highlight w:val="none"/>
        </w:rPr>
        <w:t xml:space="preserve">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_Toc14920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14:paraId="4AFDE764">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"_Toc7106" </w:instrText>
      </w:r>
      <w:r>
        <w:rPr>
          <w:color w:val="auto"/>
          <w:sz w:val="24"/>
          <w:szCs w:val="24"/>
          <w:highlight w:val="none"/>
        </w:rPr>
        <w:fldChar w:fldCharType="separate"/>
      </w:r>
      <w:r>
        <w:rPr>
          <w:rFonts w:hint="eastAsia" w:ascii="宋体" w:hAnsi="宋体" w:cs="宋体"/>
          <w:color w:val="auto"/>
          <w:sz w:val="24"/>
          <w:szCs w:val="24"/>
          <w:highlight w:val="none"/>
        </w:rPr>
        <w:t>第五章   合同草案条款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_Toc7106 \h </w:instrText>
      </w:r>
      <w:r>
        <w:rPr>
          <w:color w:val="auto"/>
          <w:sz w:val="24"/>
          <w:szCs w:val="24"/>
          <w:highlight w:val="none"/>
        </w:rPr>
        <w:fldChar w:fldCharType="separate"/>
      </w:r>
      <w:r>
        <w:rPr>
          <w:color w:val="auto"/>
          <w:sz w:val="24"/>
          <w:szCs w:val="24"/>
          <w:highlight w:val="none"/>
        </w:rPr>
        <w:t>30</w:t>
      </w:r>
      <w:r>
        <w:rPr>
          <w:color w:val="auto"/>
          <w:sz w:val="24"/>
          <w:szCs w:val="24"/>
          <w:highlight w:val="none"/>
        </w:rPr>
        <w:fldChar w:fldCharType="end"/>
      </w:r>
      <w:r>
        <w:rPr>
          <w:color w:val="auto"/>
          <w:sz w:val="24"/>
          <w:szCs w:val="24"/>
          <w:highlight w:val="none"/>
        </w:rPr>
        <w:fldChar w:fldCharType="end"/>
      </w:r>
    </w:p>
    <w:p w14:paraId="5D9B3BFF">
      <w:pPr>
        <w:pStyle w:val="506"/>
        <w:tabs>
          <w:tab w:val="right" w:leader="dot" w:pos="9072"/>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"_Toc23397" </w:instrText>
      </w:r>
      <w:r>
        <w:rPr>
          <w:color w:val="auto"/>
          <w:sz w:val="24"/>
          <w:szCs w:val="24"/>
          <w:highlight w:val="none"/>
        </w:rPr>
        <w:fldChar w:fldCharType="separate"/>
      </w:r>
      <w:r>
        <w:rPr>
          <w:color w:val="auto"/>
          <w:sz w:val="24"/>
          <w:szCs w:val="24"/>
          <w:highlight w:val="none"/>
        </w:rPr>
        <w:t>第六章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_Toc23397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color w:val="auto"/>
          <w:sz w:val="24"/>
          <w:szCs w:val="24"/>
          <w:highlight w:val="none"/>
        </w:rPr>
        <w:fldChar w:fldCharType="end"/>
      </w:r>
    </w:p>
    <w:p w14:paraId="4D8365C1">
      <w:pPr>
        <w:rPr>
          <w:color w:val="auto"/>
          <w:highlight w:val="none"/>
        </w:rPr>
      </w:pPr>
      <w:r>
        <w:rPr>
          <w:color w:val="auto"/>
          <w:sz w:val="24"/>
          <w:highlight w:val="none"/>
        </w:rPr>
        <w:fldChar w:fldCharType="end"/>
      </w:r>
    </w:p>
    <w:p w14:paraId="11BDBE68">
      <w:pPr>
        <w:pStyle w:val="89"/>
        <w:rPr>
          <w:color w:val="auto"/>
          <w:highlight w:val="none"/>
        </w:rPr>
      </w:pPr>
    </w:p>
    <w:p w14:paraId="3CA9ACD8">
      <w:pPr>
        <w:pStyle w:val="291"/>
        <w:spacing w:line="360" w:lineRule="auto"/>
        <w:rPr>
          <w:b w:val="0"/>
          <w:color w:val="auto"/>
          <w:sz w:val="44"/>
          <w:szCs w:val="44"/>
          <w:highlight w:val="none"/>
        </w:rPr>
      </w:pPr>
    </w:p>
    <w:p w14:paraId="12FC7911">
      <w:pPr>
        <w:spacing w:line="360" w:lineRule="auto"/>
        <w:jc w:val="center"/>
        <w:rPr>
          <w:b/>
          <w:color w:val="auto"/>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1701" w:num="1"/>
          <w:titlePg/>
          <w:docGrid w:linePitch="360" w:charSpace="0"/>
        </w:sectPr>
      </w:pPr>
    </w:p>
    <w:p w14:paraId="636EAE94">
      <w:pPr>
        <w:pBdr>
          <w:top w:val="none" w:color="auto" w:sz="0" w:space="0"/>
          <w:left w:val="none" w:color="auto" w:sz="0" w:space="0"/>
          <w:bottom w:val="none" w:color="auto" w:sz="0" w:space="0"/>
          <w:right w:val="none" w:color="auto" w:sz="0" w:space="0"/>
        </w:pBdr>
        <w:spacing w:line="360" w:lineRule="auto"/>
        <w:jc w:val="center"/>
        <w:outlineLvl w:val="0"/>
        <w:rPr>
          <w:rFonts w:ascii="华文宋体" w:hAnsi="华文宋体" w:cs="华文宋体"/>
          <w:color w:val="auto"/>
          <w:sz w:val="24"/>
          <w:szCs w:val="24"/>
          <w:highlight w:val="none"/>
        </w:rPr>
      </w:pPr>
      <w:bookmarkStart w:id="4" w:name="_Toc1906"/>
      <w:bookmarkStart w:id="5" w:name="_Toc104818925"/>
      <w:r>
        <w:rPr>
          <w:b/>
          <w:color w:val="auto"/>
          <w:sz w:val="36"/>
          <w:szCs w:val="36"/>
          <w:highlight w:val="none"/>
        </w:rPr>
        <w:t xml:space="preserve">第一章   </w:t>
      </w:r>
      <w:r>
        <w:rPr>
          <w:rFonts w:hint="eastAsia" w:ascii="宋体" w:hAnsi="宋体" w:cs="宋体"/>
          <w:b/>
          <w:color w:val="auto"/>
          <w:sz w:val="36"/>
          <w:szCs w:val="36"/>
          <w:highlight w:val="none"/>
        </w:rPr>
        <w:t>采购邀请</w:t>
      </w:r>
      <w:bookmarkEnd w:id="4"/>
      <w:bookmarkEnd w:id="5"/>
    </w:p>
    <w:tbl>
      <w:tblPr>
        <w:tblStyle w:val="3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9102"/>
      </w:tblGrid>
      <w:tr w14:paraId="7EA3992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c>
          <w:tcPr>
            <w:tcW w:w="9354" w:type="dxa"/>
            <w:tcBorders>
              <w:top w:val="single" w:color="808080" w:sz="8" w:space="0"/>
              <w:left w:val="single" w:color="808080" w:sz="8" w:space="0"/>
              <w:bottom w:val="single" w:color="808080" w:sz="8" w:space="0"/>
              <w:right w:val="single" w:color="808080" w:sz="8" w:space="0"/>
            </w:tcBorders>
            <w:noWrap w:val="0"/>
            <w:tcMar>
              <w:top w:w="15" w:type="dxa"/>
              <w:left w:w="15" w:type="dxa"/>
              <w:bottom w:w="15" w:type="dxa"/>
              <w:right w:w="15" w:type="dxa"/>
            </w:tcMar>
            <w:vAlign w:val="center"/>
          </w:tcPr>
          <w:p w14:paraId="7183D36B">
            <w:pPr>
              <w:pBdr>
                <w:top w:val="none" w:color="000000" w:sz="0" w:space="0"/>
                <w:left w:val="none" w:color="000000" w:sz="0" w:space="0"/>
                <w:bottom w:val="none" w:color="000000" w:sz="0" w:space="0"/>
                <w:right w:val="none" w:color="000000" w:sz="0" w:space="0"/>
              </w:pBdr>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项目概况</w:t>
            </w:r>
          </w:p>
          <w:p w14:paraId="1E699003">
            <w:pPr>
              <w:pBdr>
                <w:top w:val="none" w:color="000000" w:sz="0" w:space="0"/>
                <w:left w:val="none" w:color="000000" w:sz="0" w:space="0"/>
                <w:bottom w:val="none" w:color="000000" w:sz="0" w:space="0"/>
                <w:right w:val="none" w:color="000000" w:sz="0" w:space="0"/>
              </w:pBdr>
              <w:spacing w:before="0" w:after="210"/>
              <w:ind w:left="0" w:right="0" w:firstLine="0"/>
              <w:rPr>
                <w:rFonts w:ascii="宋体" w:hAnsi="宋体" w:cs="宋体"/>
                <w:color w:val="auto"/>
                <w:sz w:val="20"/>
                <w:szCs w:val="22"/>
                <w:highlight w:val="none"/>
              </w:rPr>
            </w:pPr>
            <w:r>
              <w:rPr>
                <w:rFonts w:hint="eastAsia" w:ascii="宋体" w:hAnsi="宋体" w:cs="宋体"/>
                <w:color w:val="auto"/>
                <w:sz w:val="24"/>
                <w:szCs w:val="22"/>
                <w:highlight w:val="none"/>
                <w:lang w:eastAsia="zh-CN"/>
              </w:rPr>
              <w:t>感统训练技术人才引进项目（二次）JSZC-320412-CZZY-C2025-0050</w:t>
            </w:r>
            <w:r>
              <w:rPr>
                <w:rFonts w:ascii="宋体" w:hAnsi="宋体" w:eastAsia="宋体" w:cs="宋体"/>
                <w:color w:val="auto"/>
                <w:sz w:val="24"/>
                <w:szCs w:val="22"/>
                <w:highlight w:val="none"/>
              </w:rPr>
              <w:t>采购项目的潜在供应商应在政府采购一体化平台“苏采云”获取采购文件，并于</w:t>
            </w:r>
            <w:r>
              <w:rPr>
                <w:rFonts w:hint="eastAsia" w:ascii="宋体" w:hAnsi="宋体" w:cs="宋体"/>
                <w:color w:val="auto"/>
                <w:sz w:val="24"/>
                <w:szCs w:val="22"/>
                <w:highlight w:val="none"/>
                <w:lang w:eastAsia="zh-CN"/>
              </w:rPr>
              <w:t>2025-10-10 09:00</w:t>
            </w:r>
            <w:r>
              <w:rPr>
                <w:rFonts w:ascii="宋体" w:hAnsi="宋体" w:eastAsia="宋体" w:cs="宋体"/>
                <w:color w:val="auto"/>
                <w:sz w:val="24"/>
                <w:szCs w:val="22"/>
                <w:highlight w:val="none"/>
              </w:rPr>
              <w:t>（北京时间）前提交响应文件。</w:t>
            </w:r>
          </w:p>
        </w:tc>
      </w:tr>
    </w:tbl>
    <w:p w14:paraId="2CCEE273">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一、项目基本情况</w:t>
      </w:r>
    </w:p>
    <w:p w14:paraId="5A9C2DB0">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hint="eastAsia" w:ascii="宋体" w:hAnsi="宋体" w:cs="宋体"/>
          <w:color w:val="auto"/>
          <w:sz w:val="24"/>
          <w:szCs w:val="22"/>
          <w:highlight w:val="none"/>
          <w:lang w:eastAsia="zh-CN"/>
        </w:rPr>
      </w:pPr>
      <w:r>
        <w:rPr>
          <w:rFonts w:ascii="宋体" w:hAnsi="宋体" w:eastAsia="宋体" w:cs="宋体"/>
          <w:color w:val="auto"/>
          <w:sz w:val="24"/>
          <w:szCs w:val="22"/>
          <w:highlight w:val="none"/>
        </w:rPr>
        <w:t>项目编号：</w:t>
      </w:r>
      <w:r>
        <w:rPr>
          <w:rFonts w:hint="eastAsia" w:ascii="宋体" w:hAnsi="宋体" w:cs="宋体"/>
          <w:color w:val="auto"/>
          <w:sz w:val="24"/>
          <w:szCs w:val="22"/>
          <w:highlight w:val="none"/>
          <w:lang w:eastAsia="zh-CN"/>
        </w:rPr>
        <w:t>JSZC-320412-CZZY-C2025-0050</w:t>
      </w:r>
    </w:p>
    <w:p w14:paraId="72819101">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项目名称：</w:t>
      </w:r>
      <w:r>
        <w:rPr>
          <w:rFonts w:hint="eastAsia" w:ascii="宋体" w:hAnsi="宋体" w:cs="宋体"/>
          <w:color w:val="auto"/>
          <w:sz w:val="24"/>
          <w:szCs w:val="22"/>
          <w:highlight w:val="none"/>
          <w:lang w:eastAsia="zh-CN"/>
        </w:rPr>
        <w:t>感统训练技术人才引进项目（二次）</w:t>
      </w:r>
      <w:r>
        <w:rPr>
          <w:rFonts w:ascii="宋体" w:hAnsi="宋体" w:eastAsia="宋体" w:cs="宋体"/>
          <w:color w:val="auto"/>
          <w:sz w:val="24"/>
          <w:szCs w:val="22"/>
          <w:highlight w:val="none"/>
        </w:rPr>
        <w:t> </w:t>
      </w:r>
    </w:p>
    <w:p w14:paraId="34DE3A2A">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采购方式：竞争性磋商 </w:t>
      </w:r>
    </w:p>
    <w:p w14:paraId="2030B80A">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预算金额：33万/年</w:t>
      </w:r>
      <w:r>
        <w:rPr>
          <w:rFonts w:hint="eastAsia" w:ascii="宋体" w:hAnsi="宋体" w:cs="宋体"/>
          <w:color w:val="auto"/>
          <w:sz w:val="24"/>
          <w:szCs w:val="22"/>
          <w:highlight w:val="none"/>
          <w:lang w:eastAsia="zh-CN"/>
        </w:rPr>
        <w:t>、</w:t>
      </w:r>
      <w:r>
        <w:rPr>
          <w:rFonts w:hint="eastAsia" w:ascii="宋体" w:hAnsi="宋体" w:cs="宋体"/>
          <w:color w:val="auto"/>
          <w:sz w:val="24"/>
          <w:szCs w:val="22"/>
          <w:highlight w:val="none"/>
          <w:lang w:val="en-US" w:eastAsia="zh-CN"/>
        </w:rPr>
        <w:t>99</w:t>
      </w:r>
      <w:r>
        <w:rPr>
          <w:rFonts w:ascii="宋体" w:hAnsi="宋体" w:eastAsia="宋体" w:cs="宋体"/>
          <w:color w:val="auto"/>
          <w:sz w:val="24"/>
          <w:szCs w:val="22"/>
          <w:highlight w:val="none"/>
        </w:rPr>
        <w:t>万元</w:t>
      </w:r>
      <w:r>
        <w:rPr>
          <w:rFonts w:hint="eastAsia" w:ascii="宋体" w:hAnsi="宋体" w:cs="宋体"/>
          <w:color w:val="auto"/>
          <w:sz w:val="24"/>
          <w:szCs w:val="22"/>
          <w:highlight w:val="none"/>
          <w:lang w:val="en-US" w:eastAsia="zh-CN"/>
        </w:rPr>
        <w:t>/三年</w:t>
      </w:r>
      <w:r>
        <w:rPr>
          <w:rFonts w:ascii="宋体" w:hAnsi="宋体" w:eastAsia="宋体" w:cs="宋体"/>
          <w:color w:val="auto"/>
          <w:sz w:val="24"/>
          <w:szCs w:val="22"/>
          <w:highlight w:val="none"/>
        </w:rPr>
        <w:t> </w:t>
      </w:r>
    </w:p>
    <w:p w14:paraId="5FB33B8B">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eastAsia="宋体" w:cs="宋体"/>
          <w:color w:val="auto"/>
          <w:sz w:val="24"/>
          <w:szCs w:val="22"/>
          <w:highlight w:val="none"/>
        </w:rPr>
      </w:pPr>
      <w:r>
        <w:rPr>
          <w:rFonts w:ascii="宋体" w:hAnsi="宋体" w:eastAsia="宋体" w:cs="宋体"/>
          <w:color w:val="auto"/>
          <w:sz w:val="24"/>
          <w:szCs w:val="22"/>
          <w:highlight w:val="none"/>
        </w:rPr>
        <w:t>最高限价（如有）：</w:t>
      </w:r>
      <w:r>
        <w:rPr>
          <w:rFonts w:hint="default" w:ascii="宋体" w:hAnsi="宋体" w:eastAsia="宋体" w:cs="宋体"/>
          <w:color w:val="auto"/>
          <w:sz w:val="24"/>
          <w:szCs w:val="22"/>
          <w:highlight w:val="none"/>
        </w:rPr>
        <w:t>优惠率≥</w:t>
      </w:r>
      <w:r>
        <w:rPr>
          <w:rFonts w:hint="eastAsia" w:ascii="宋体" w:hAnsi="宋体" w:cs="宋体"/>
          <w:color w:val="auto"/>
          <w:sz w:val="24"/>
          <w:szCs w:val="22"/>
          <w:highlight w:val="none"/>
          <w:lang w:val="en-US" w:eastAsia="zh-CN"/>
        </w:rPr>
        <w:t>1</w:t>
      </w:r>
      <w:r>
        <w:rPr>
          <w:rFonts w:hint="default" w:ascii="宋体" w:hAnsi="宋体" w:eastAsia="宋体" w:cs="宋体"/>
          <w:color w:val="auto"/>
          <w:sz w:val="24"/>
          <w:szCs w:val="22"/>
          <w:highlight w:val="none"/>
        </w:rPr>
        <w:t>0%</w:t>
      </w:r>
      <w:r>
        <w:rPr>
          <w:rFonts w:hint="default" w:ascii="宋体" w:hAnsi="宋体" w:eastAsia="宋体" w:cs="宋体"/>
          <w:color w:val="auto"/>
          <w:sz w:val="24"/>
          <w:szCs w:val="22"/>
          <w:highlight w:val="none"/>
          <w:lang w:eastAsia="zh-CN"/>
        </w:rPr>
        <w:t>，</w:t>
      </w:r>
      <w:r>
        <w:rPr>
          <w:rFonts w:hint="default" w:ascii="宋体" w:hAnsi="宋体" w:eastAsia="宋体" w:cs="宋体"/>
          <w:color w:val="auto"/>
          <w:sz w:val="24"/>
          <w:szCs w:val="22"/>
          <w:highlight w:val="none"/>
        </w:rPr>
        <w:t>（即不得高于门诊收费</w:t>
      </w:r>
      <w:r>
        <w:rPr>
          <w:rFonts w:hint="eastAsia" w:ascii="宋体" w:hAnsi="宋体" w:cs="宋体"/>
          <w:color w:val="auto"/>
          <w:sz w:val="24"/>
          <w:szCs w:val="22"/>
          <w:highlight w:val="none"/>
          <w:lang w:val="en-US" w:eastAsia="zh-CN"/>
        </w:rPr>
        <w:t>的90%），</w:t>
      </w:r>
      <w:r>
        <w:rPr>
          <w:rFonts w:hint="default" w:ascii="宋体" w:hAnsi="宋体" w:cs="宋体"/>
          <w:color w:val="auto"/>
          <w:sz w:val="24"/>
          <w:szCs w:val="22"/>
          <w:highlight w:val="none"/>
          <w:lang w:val="en-US" w:eastAsia="zh-CN"/>
        </w:rPr>
        <w:t>否则为无效响应。</w:t>
      </w:r>
      <w:r>
        <w:rPr>
          <w:rFonts w:ascii="宋体" w:hAnsi="宋体" w:eastAsia="宋体" w:cs="宋体"/>
          <w:color w:val="auto"/>
          <w:sz w:val="24"/>
          <w:szCs w:val="22"/>
          <w:highlight w:val="none"/>
        </w:rPr>
        <w:t> </w:t>
      </w:r>
    </w:p>
    <w:p w14:paraId="07A07D23">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采购需求：本项目是常州市武进区妇幼保健计划生育服务中心</w:t>
      </w:r>
      <w:r>
        <w:rPr>
          <w:rFonts w:hint="eastAsia" w:ascii="宋体" w:hAnsi="宋体" w:cs="宋体"/>
          <w:color w:val="auto"/>
          <w:sz w:val="24"/>
          <w:szCs w:val="22"/>
          <w:highlight w:val="none"/>
          <w:lang w:eastAsia="zh-CN"/>
        </w:rPr>
        <w:t>感统训练技术人才引进项目</w:t>
      </w:r>
      <w:r>
        <w:rPr>
          <w:rFonts w:ascii="宋体" w:hAnsi="宋体" w:eastAsia="宋体" w:cs="宋体"/>
          <w:color w:val="auto"/>
          <w:sz w:val="24"/>
          <w:szCs w:val="22"/>
          <w:highlight w:val="none"/>
        </w:rPr>
        <w:t>，为切实加强武进 区0-6岁儿童身心健康发展工作，双方合作建设运营儿童发展中心，采购人负责儿章早期发展中心的管理和项目实施,供应商提供专业服务,双方整合资源，优势互补，实行联合运营，提升服务能力。</w:t>
      </w:r>
    </w:p>
    <w:p w14:paraId="325588D7">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合同履行期限：</w:t>
      </w:r>
      <w:r>
        <w:rPr>
          <w:rFonts w:hint="eastAsia" w:ascii="宋体" w:hAnsi="宋体" w:eastAsia="宋体" w:cs="宋体"/>
          <w:color w:val="auto"/>
          <w:sz w:val="24"/>
          <w:szCs w:val="22"/>
          <w:highlight w:val="none"/>
        </w:rPr>
        <w:t>三年，合同一年一签。每年合同期满经采购人考核合格后续签下一年度合同。</w:t>
      </w:r>
      <w:r>
        <w:rPr>
          <w:rFonts w:ascii="宋体" w:hAnsi="宋体" w:eastAsia="宋体" w:cs="宋体"/>
          <w:color w:val="auto"/>
          <w:sz w:val="24"/>
          <w:szCs w:val="22"/>
          <w:highlight w:val="none"/>
        </w:rPr>
        <w:t> </w:t>
      </w:r>
    </w:p>
    <w:p w14:paraId="160384D6">
      <w:pPr>
        <w:pBdr>
          <w:top w:val="none" w:color="000000" w:sz="0" w:space="0"/>
          <w:left w:val="none" w:color="000000" w:sz="0" w:space="0"/>
          <w:bottom w:val="none" w:color="000000" w:sz="0" w:space="0"/>
          <w:right w:val="none" w:color="000000" w:sz="0" w:space="0"/>
        </w:pBdr>
        <w:shd w:val="clear" w:color="FFFFFF" w:fill="FFFFFF"/>
        <w:spacing w:before="0" w:after="210" w:line="360" w:lineRule="exact"/>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本项目（是/否）接受联合体：否 </w:t>
      </w:r>
    </w:p>
    <w:p w14:paraId="51F6D316">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二、申请人的资格要求：</w:t>
      </w:r>
    </w:p>
    <w:p w14:paraId="55D30E87">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（一）满足《中华人民共和国政府采购法》第二十二条规定：</w:t>
      </w:r>
    </w:p>
    <w:p w14:paraId="7D3547FB">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eastAsia="宋体" w:cs="宋体"/>
          <w:color w:val="auto"/>
          <w:sz w:val="24"/>
          <w:szCs w:val="22"/>
          <w:highlight w:val="none"/>
          <w:lang w:val="en-US" w:eastAsia="zh-CN"/>
        </w:rPr>
      </w:pPr>
      <w:r>
        <w:rPr>
          <w:rFonts w:ascii="宋体" w:hAnsi="宋体" w:eastAsia="宋体" w:cs="宋体"/>
          <w:color w:val="auto"/>
          <w:sz w:val="24"/>
          <w:szCs w:val="22"/>
          <w:highlight w:val="none"/>
        </w:rPr>
        <w:t>1.供应商资格声明函</w:t>
      </w:r>
      <w:r>
        <w:rPr>
          <w:rFonts w:hint="eastAsia" w:ascii="宋体" w:hAnsi="宋体" w:cs="宋体"/>
          <w:color w:val="auto"/>
          <w:sz w:val="24"/>
          <w:szCs w:val="22"/>
          <w:highlight w:val="none"/>
          <w:lang w:val="en-US" w:eastAsia="zh-CN"/>
        </w:rPr>
        <w:t>；</w:t>
      </w:r>
    </w:p>
    <w:p w14:paraId="02BF8426">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eastAsia="宋体" w:cs="宋体"/>
          <w:color w:val="auto"/>
          <w:sz w:val="24"/>
          <w:szCs w:val="22"/>
          <w:highlight w:val="none"/>
          <w:lang w:val="en-US" w:eastAsia="zh-CN"/>
        </w:rPr>
      </w:pPr>
      <w:r>
        <w:rPr>
          <w:rFonts w:ascii="宋体" w:hAnsi="宋体" w:eastAsia="宋体" w:cs="宋体"/>
          <w:color w:val="auto"/>
          <w:sz w:val="24"/>
          <w:szCs w:val="22"/>
          <w:highlight w:val="none"/>
        </w:rPr>
        <w:t>2.供应商信用记录</w:t>
      </w:r>
      <w:r>
        <w:rPr>
          <w:rFonts w:hint="eastAsia" w:ascii="宋体" w:hAnsi="宋体" w:cs="宋体"/>
          <w:color w:val="auto"/>
          <w:sz w:val="24"/>
          <w:szCs w:val="22"/>
          <w:highlight w:val="none"/>
          <w:lang w:val="en-US" w:eastAsia="zh-CN"/>
        </w:rPr>
        <w:t>；</w:t>
      </w:r>
    </w:p>
    <w:p w14:paraId="3F010E62">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eastAsia="宋体" w:cs="宋体"/>
          <w:color w:val="auto"/>
          <w:sz w:val="24"/>
          <w:szCs w:val="22"/>
          <w:highlight w:val="none"/>
          <w:lang w:eastAsia="zh-CN"/>
        </w:rPr>
      </w:pPr>
      <w:r>
        <w:rPr>
          <w:rFonts w:ascii="宋体" w:hAnsi="宋体" w:eastAsia="宋体" w:cs="宋体"/>
          <w:color w:val="auto"/>
          <w:sz w:val="24"/>
          <w:szCs w:val="22"/>
          <w:highlight w:val="none"/>
        </w:rPr>
        <w:t>3.营业执照</w:t>
      </w:r>
      <w:r>
        <w:rPr>
          <w:rFonts w:hint="eastAsia" w:ascii="宋体" w:hAnsi="宋体" w:cs="宋体"/>
          <w:color w:val="auto"/>
          <w:sz w:val="24"/>
          <w:szCs w:val="22"/>
          <w:highlight w:val="none"/>
          <w:lang w:eastAsia="zh-CN"/>
        </w:rPr>
        <w:t>。</w:t>
      </w:r>
    </w:p>
    <w:p w14:paraId="221E5DBF">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（二）落实政府采购政策需满足的资格要求：</w:t>
      </w:r>
    </w:p>
    <w:p w14:paraId="3954B3EC">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2.1 中小企业政策</w:t>
      </w:r>
    </w:p>
    <w:p w14:paraId="2B45C95A">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□本项目不专门面向中小企业预留采购份额。</w:t>
      </w:r>
    </w:p>
    <w:p w14:paraId="3548A08A">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hint="default" w:ascii="宋体" w:hAnsi="宋体" w:eastAsia="宋体" w:cs="宋体"/>
          <w:color w:val="auto"/>
          <w:sz w:val="24"/>
          <w:szCs w:val="22"/>
          <w:highlight w:val="none"/>
        </w:rPr>
        <w:t>■</w:t>
      </w:r>
      <w:r>
        <w:rPr>
          <w:rFonts w:ascii="宋体" w:hAnsi="宋体" w:eastAsia="宋体" w:cs="宋体"/>
          <w:color w:val="auto"/>
          <w:sz w:val="24"/>
          <w:szCs w:val="22"/>
          <w:highlight w:val="none"/>
        </w:rPr>
        <w:t>本项目专门面向 </w:t>
      </w:r>
      <w:r>
        <w:rPr>
          <w:rFonts w:hint="default" w:ascii="宋体" w:hAnsi="宋体" w:eastAsia="宋体" w:cs="宋体"/>
          <w:color w:val="auto"/>
          <w:sz w:val="24"/>
          <w:szCs w:val="22"/>
          <w:highlight w:val="none"/>
        </w:rPr>
        <w:t>■</w:t>
      </w:r>
      <w:r>
        <w:rPr>
          <w:rFonts w:ascii="宋体" w:hAnsi="宋体" w:eastAsia="宋体" w:cs="宋体"/>
          <w:color w:val="auto"/>
          <w:sz w:val="24"/>
          <w:szCs w:val="22"/>
          <w:highlight w:val="none"/>
        </w:rPr>
        <w:t>中小  □小微企业采购。（说明：中小企业包含中型、小型、微型企业，小微企业包含小型、微型企业）</w:t>
      </w:r>
    </w:p>
    <w:p w14:paraId="77A6A4D3">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0A3E65FF">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2.2 其它落实政府采购政策的资格要求（如有）：_____/____。</w:t>
      </w:r>
    </w:p>
    <w:p w14:paraId="53360476">
      <w:pPr>
        <w:pBdr>
          <w:top w:val="none" w:color="000000" w:sz="0" w:space="0"/>
          <w:left w:val="none" w:color="000000" w:sz="0" w:space="0"/>
          <w:bottom w:val="none" w:color="000000" w:sz="0" w:space="0"/>
          <w:right w:val="none" w:color="000000" w:sz="0" w:space="0"/>
        </w:pBdr>
        <w:shd w:val="clear" w:color="auto" w:fill="auto"/>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（三）本项目的特定资格要求：</w:t>
      </w:r>
    </w:p>
    <w:p w14:paraId="2DE048B3">
      <w:pPr>
        <w:pBdr>
          <w:top w:val="none" w:color="000000" w:sz="0" w:space="0"/>
          <w:left w:val="none" w:color="000000" w:sz="0" w:space="0"/>
          <w:bottom w:val="none" w:color="000000" w:sz="0" w:space="0"/>
          <w:right w:val="none" w:color="000000" w:sz="0" w:space="0"/>
        </w:pBdr>
        <w:spacing w:after="280" w:line="240" w:lineRule="auto"/>
        <w:ind w:firstLine="0"/>
        <w:rPr>
          <w:rFonts w:ascii="宋体" w:hAnsi="宋体" w:eastAsia="宋体" w:cs="宋体"/>
          <w:color w:val="auto"/>
          <w:sz w:val="24"/>
          <w:szCs w:val="22"/>
          <w:highlight w:val="none"/>
        </w:rPr>
      </w:pPr>
      <w:r>
        <w:rPr>
          <w:rFonts w:ascii="宋体" w:hAnsi="宋体" w:eastAsia="宋体" w:cs="宋体"/>
          <w:color w:val="auto"/>
          <w:sz w:val="24"/>
          <w:szCs w:val="22"/>
          <w:highlight w:val="none"/>
        </w:rPr>
        <w:t xml:space="preserve">3.1本项目是否接受分支机构参与响应：□是   </w:t>
      </w:r>
      <w:r>
        <w:rPr>
          <w:rFonts w:hint="default" w:ascii="宋体" w:hAnsi="宋体" w:eastAsia="宋体" w:cs="宋体"/>
          <w:color w:val="auto"/>
          <w:sz w:val="24"/>
          <w:szCs w:val="22"/>
          <w:highlight w:val="none"/>
        </w:rPr>
        <w:t>■</w:t>
      </w:r>
      <w:r>
        <w:rPr>
          <w:rFonts w:ascii="宋体" w:hAnsi="宋体" w:eastAsia="宋体" w:cs="宋体"/>
          <w:color w:val="auto"/>
          <w:sz w:val="24"/>
          <w:szCs w:val="22"/>
          <w:highlight w:val="none"/>
        </w:rPr>
        <w:t>否；</w:t>
      </w:r>
    </w:p>
    <w:p w14:paraId="6F91EE82">
      <w:pPr>
        <w:pBdr>
          <w:top w:val="none" w:color="000000" w:sz="0" w:space="0"/>
          <w:left w:val="none" w:color="000000" w:sz="0" w:space="0"/>
          <w:bottom w:val="none" w:color="000000" w:sz="0" w:space="0"/>
          <w:right w:val="none" w:color="000000" w:sz="0" w:space="0"/>
        </w:pBdr>
        <w:spacing w:after="280" w:line="240" w:lineRule="auto"/>
        <w:ind w:firstLine="0"/>
        <w:rPr>
          <w:rFonts w:ascii="宋体" w:hAnsi="宋体" w:eastAsia="宋体" w:cs="宋体"/>
          <w:color w:val="auto"/>
          <w:sz w:val="24"/>
          <w:szCs w:val="22"/>
          <w:highlight w:val="none"/>
        </w:rPr>
      </w:pPr>
      <w:r>
        <w:rPr>
          <w:rFonts w:hint="default" w:ascii="宋体" w:hAnsi="宋体" w:eastAsia="宋体" w:cs="宋体"/>
          <w:color w:val="auto"/>
          <w:sz w:val="24"/>
          <w:szCs w:val="22"/>
          <w:highlight w:val="none"/>
        </w:rPr>
        <w:t>3.2 本项目是否属于政府购买服务：</w:t>
      </w:r>
    </w:p>
    <w:p w14:paraId="71CA4247">
      <w:pPr>
        <w:pBdr>
          <w:top w:val="none" w:color="000000" w:sz="0" w:space="0"/>
          <w:left w:val="none" w:color="000000" w:sz="0" w:space="0"/>
          <w:bottom w:val="none" w:color="000000" w:sz="0" w:space="0"/>
          <w:right w:val="none" w:color="000000" w:sz="0" w:space="0"/>
        </w:pBdr>
        <w:spacing w:after="280" w:line="240" w:lineRule="auto"/>
        <w:ind w:firstLine="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□否；</w:t>
      </w:r>
    </w:p>
    <w:p w14:paraId="374F83BA">
      <w:pPr>
        <w:pBdr>
          <w:top w:val="none" w:color="000000" w:sz="0" w:space="0"/>
          <w:left w:val="none" w:color="000000" w:sz="0" w:space="0"/>
          <w:bottom w:val="none" w:color="000000" w:sz="0" w:space="0"/>
          <w:right w:val="none" w:color="000000" w:sz="0" w:space="0"/>
        </w:pBdr>
        <w:spacing w:after="280" w:line="240" w:lineRule="auto"/>
        <w:ind w:firstLine="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■是，公益一类事业单位、使用事业编制且由财政拨款保障的群团组织，不得作为承接主体；</w:t>
      </w:r>
    </w:p>
    <w:p w14:paraId="054226B2">
      <w:pPr>
        <w:pBdr>
          <w:top w:val="none" w:color="000000" w:sz="0" w:space="0"/>
          <w:left w:val="none" w:color="000000" w:sz="0" w:space="0"/>
          <w:bottom w:val="none" w:color="000000" w:sz="0" w:space="0"/>
          <w:right w:val="none" w:color="000000" w:sz="0" w:space="0"/>
        </w:pBdr>
        <w:spacing w:after="280" w:line="240" w:lineRule="auto"/>
        <w:ind w:firstLine="0"/>
        <w:rPr>
          <w:rFonts w:hint="eastAsia" w:ascii="仿宋" w:hAnsi="仿宋" w:eastAsia="仿宋"/>
          <w:color w:val="auto"/>
          <w:sz w:val="32"/>
          <w:szCs w:val="32"/>
          <w:highlight w:val="none"/>
        </w:rPr>
      </w:pPr>
      <w:r>
        <w:rPr>
          <w:rFonts w:ascii="宋体" w:hAnsi="宋体" w:eastAsia="宋体" w:cs="宋体"/>
          <w:color w:val="auto"/>
          <w:sz w:val="24"/>
          <w:szCs w:val="22"/>
          <w:highlight w:val="none"/>
        </w:rPr>
        <w:t>3.3其他特定资格要求：</w:t>
      </w:r>
      <w:r>
        <w:rPr>
          <w:rFonts w:hint="eastAsia" w:ascii="宋体" w:hAnsi="宋体" w:cs="宋体"/>
          <w:color w:val="auto"/>
          <w:sz w:val="24"/>
          <w:szCs w:val="22"/>
          <w:highlight w:val="none"/>
          <w:u w:val="single"/>
          <w:lang w:val="en-US" w:eastAsia="zh-CN"/>
        </w:rPr>
        <w:t xml:space="preserve"> </w:t>
      </w:r>
      <w:r>
        <w:rPr>
          <w:rFonts w:hint="default" w:ascii="宋体" w:hAnsi="宋体" w:eastAsia="宋体" w:cs="宋体"/>
          <w:color w:val="auto"/>
          <w:sz w:val="24"/>
          <w:szCs w:val="22"/>
          <w:highlight w:val="none"/>
          <w:u w:val="single"/>
        </w:rPr>
        <w:t>/</w:t>
      </w:r>
      <w:r>
        <w:rPr>
          <w:rFonts w:hint="default" w:ascii="宋体" w:hAnsi="宋体" w:eastAsia="宋体" w:cs="宋体"/>
          <w:color w:val="auto"/>
          <w:sz w:val="24"/>
          <w:szCs w:val="22"/>
          <w:highlight w:val="none"/>
        </w:rPr>
        <w:t>。</w:t>
      </w:r>
    </w:p>
    <w:p w14:paraId="4CBCE312">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三、获取采购文件</w:t>
      </w:r>
    </w:p>
    <w:p w14:paraId="1C9DBD2A">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时间：自磋商文件公告发布之日起5个工作日 </w:t>
      </w:r>
    </w:p>
    <w:p w14:paraId="78F47C2A">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地点：政府采购一体化平台“苏采云” </w:t>
      </w:r>
    </w:p>
    <w:p w14:paraId="78EE5803">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方式：</w:t>
      </w:r>
      <w:r>
        <w:rPr>
          <w:rFonts w:hint="eastAsia" w:ascii="宋体" w:hAnsi="宋体" w:cs="宋体"/>
          <w:color w:val="auto"/>
          <w:sz w:val="24"/>
          <w:szCs w:val="22"/>
          <w:highlight w:val="none"/>
          <w:lang w:eastAsia="zh-CN"/>
        </w:rPr>
        <w:t>供应商</w:t>
      </w:r>
      <w:r>
        <w:rPr>
          <w:rFonts w:ascii="宋体" w:hAnsi="宋体" w:eastAsia="宋体" w:cs="宋体"/>
          <w:color w:val="auto"/>
          <w:sz w:val="24"/>
          <w:szCs w:val="22"/>
          <w:highlight w:val="none"/>
        </w:rPr>
        <w:t>持CA数字认证证书登录政府采购一体化平台“苏采云”（http://jszfcg.jsczt.cn/jszc/login）获取电子版</w:t>
      </w:r>
      <w:r>
        <w:rPr>
          <w:rFonts w:hint="eastAsia" w:ascii="宋体" w:hAnsi="宋体" w:cs="宋体"/>
          <w:color w:val="auto"/>
          <w:sz w:val="24"/>
          <w:szCs w:val="22"/>
          <w:highlight w:val="none"/>
          <w:lang w:eastAsia="zh-CN"/>
        </w:rPr>
        <w:t>采购文件</w:t>
      </w:r>
      <w:r>
        <w:rPr>
          <w:rFonts w:ascii="宋体" w:hAnsi="宋体" w:eastAsia="宋体" w:cs="宋体"/>
          <w:color w:val="auto"/>
          <w:sz w:val="24"/>
          <w:szCs w:val="22"/>
          <w:highlight w:val="none"/>
        </w:rPr>
        <w:t>。 </w:t>
      </w:r>
    </w:p>
    <w:p w14:paraId="3F9288D8">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售价：0.00元 </w:t>
      </w:r>
    </w:p>
    <w:p w14:paraId="7BC1C0B1">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四、响应文件提交</w:t>
      </w:r>
    </w:p>
    <w:p w14:paraId="26DA6C09">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截止时间：</w:t>
      </w:r>
      <w:r>
        <w:rPr>
          <w:rFonts w:hint="eastAsia" w:ascii="宋体" w:hAnsi="宋体" w:cs="宋体"/>
          <w:color w:val="auto"/>
          <w:sz w:val="24"/>
          <w:szCs w:val="22"/>
          <w:highlight w:val="none"/>
          <w:lang w:eastAsia="zh-CN"/>
        </w:rPr>
        <w:t>2025-10-10 09:00</w:t>
      </w:r>
      <w:r>
        <w:rPr>
          <w:rFonts w:ascii="宋体" w:hAnsi="宋体" w:eastAsia="宋体" w:cs="宋体"/>
          <w:color w:val="auto"/>
          <w:sz w:val="24"/>
          <w:szCs w:val="22"/>
          <w:highlight w:val="none"/>
        </w:rPr>
        <w:t> （北京时间）</w:t>
      </w:r>
    </w:p>
    <w:p w14:paraId="38E58921">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地点：政府采购一体化平台“苏采云” </w:t>
      </w:r>
    </w:p>
    <w:p w14:paraId="5CB94384">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五、开启</w:t>
      </w:r>
    </w:p>
    <w:p w14:paraId="784995D0">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时间：</w:t>
      </w:r>
      <w:r>
        <w:rPr>
          <w:rFonts w:hint="eastAsia" w:ascii="宋体" w:hAnsi="宋体" w:cs="宋体"/>
          <w:color w:val="auto"/>
          <w:sz w:val="24"/>
          <w:szCs w:val="22"/>
          <w:highlight w:val="none"/>
          <w:lang w:eastAsia="zh-CN"/>
        </w:rPr>
        <w:t>2025-10-10 09:00</w:t>
      </w:r>
      <w:r>
        <w:rPr>
          <w:rFonts w:ascii="宋体" w:hAnsi="宋体" w:eastAsia="宋体" w:cs="宋体"/>
          <w:color w:val="auto"/>
          <w:sz w:val="24"/>
          <w:szCs w:val="22"/>
          <w:highlight w:val="none"/>
        </w:rPr>
        <w:t> （北京时间）</w:t>
      </w:r>
    </w:p>
    <w:p w14:paraId="1A4D47BA">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地点：“苏采云”政府采购交易系统网上开标大厅开标室（新北） </w:t>
      </w:r>
    </w:p>
    <w:p w14:paraId="0E359586">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六、公告期限</w:t>
      </w:r>
    </w:p>
    <w:p w14:paraId="467148AA">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自本公告发布之日起3个工作日。</w:t>
      </w:r>
    </w:p>
    <w:p w14:paraId="35D174AB">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七、其他补充事宜</w:t>
      </w:r>
    </w:p>
    <w:p w14:paraId="1F247C48">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1.本项目需要落实的政府采购政策：/。</w:t>
      </w:r>
    </w:p>
    <w:p w14:paraId="645FD2C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 现场勘察及澄清：</w:t>
      </w:r>
    </w:p>
    <w:p w14:paraId="0CE72E90">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2.1采购人不组织现场勘察。   </w:t>
      </w:r>
    </w:p>
    <w:p w14:paraId="72B8E1C0">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2.2有关本次采购的事项若存在变动或修改，采购代理机构将通过更正公告形式发布，因未能及时了解相关最新信息所引起的投标失误责任由供应商自负。</w:t>
      </w:r>
    </w:p>
    <w:p w14:paraId="5423D436">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本项目采用全流程电子化采购方式，请供应商认真学习政府采购一体化平台“苏采云”发布的相关操作手册，办理CA认证证书、进行政府采购一体化平台“苏采云”注册绑定，并认真核实数字认证证书情况确认是否符合本项目电子化采购流程要求。</w:t>
      </w:r>
    </w:p>
    <w:p w14:paraId="1A66FA4C">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技术支持服务热线   0519-85588210</w:t>
      </w:r>
    </w:p>
    <w:p w14:paraId="7C8265A8">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CA认证证书办理（可邮寄）联系电话  0519-85588120</w:t>
      </w:r>
    </w:p>
    <w:p w14:paraId="48C934B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3.1办理CA认证证书</w:t>
      </w:r>
    </w:p>
    <w:p w14:paraId="1AFD4BF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供应商登录政府采购一体化平台“苏采云”“新CA办理指南”，按照程序要求办理。</w:t>
      </w:r>
    </w:p>
    <w:p w14:paraId="1DBADA82">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3.2注册</w:t>
      </w:r>
    </w:p>
    <w:p w14:paraId="27070630">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供应商登录政府采购一体化平台“苏采云” 下载“ 用户注册”查阅后进行自助注册。</w:t>
      </w:r>
    </w:p>
    <w:p w14:paraId="1DC63DAA">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3.3控件、客户端下载</w:t>
      </w:r>
    </w:p>
    <w:p w14:paraId="624C0EDE">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供应商登录政府采购一体化平台“苏采云” 下载“驱动下载”，安装驱动。</w:t>
      </w:r>
    </w:p>
    <w:p w14:paraId="13E3CB1D">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3.4获取电子磋商文件</w:t>
      </w:r>
    </w:p>
    <w:p w14:paraId="2DE2705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供应商持CA数字认证证书登录政府采购一体化平台“苏采云”获取电子磋商文件。未在规定期限内通过政府采购一体化平台“苏采云”获取磋商文件的响应无效。</w:t>
      </w:r>
    </w:p>
    <w:p w14:paraId="1B00CB18">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3.5编制电子响应文件</w:t>
      </w:r>
    </w:p>
    <w:p w14:paraId="0E0474E0">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应使用电子响应文件制作客户端编制电子响应文件并进行线上响应，供应商电子响应文件需要加密并加盖电子签章，如无法按照要求在电子响应文件中加盖电子签章和加密，请及时通过技术支持服务热线联系技术人员。</w:t>
      </w:r>
    </w:p>
    <w:p w14:paraId="3D5C7E6B">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3.6提交电子响应文件</w:t>
      </w:r>
    </w:p>
    <w:p w14:paraId="197C20BE">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供应商应于响应截止时间前在政府采购一体化平台“苏采云”提交电子响应文件，上传电子响应文件过程中请保持与互联网的连接畅通。</w:t>
      </w:r>
    </w:p>
    <w:p w14:paraId="00EA3A0F">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3.7电子开标</w:t>
      </w:r>
    </w:p>
    <w:p w14:paraId="3820AD3D">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供应商使用CA认证证书登录政府采购一体化平台“苏采云”进行电子化不见面开标。</w:t>
      </w:r>
    </w:p>
    <w:p w14:paraId="1F32DA93">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3.8注意事项</w:t>
      </w:r>
    </w:p>
    <w:p w14:paraId="17C9006D">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供应商在开标前应当使用“验证CA”功能验证本地计算机的控件环境是否正常，并且在开标、评审过程中不可随意更换计算机，必须使用验证成功的计算机进行操作，否则造成相应后果由供应商自行承担。</w:t>
      </w:r>
    </w:p>
    <w:p w14:paraId="606CF111">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4.关于常州市中小企业政府采购信用融资：</w:t>
      </w:r>
    </w:p>
    <w:p w14:paraId="02C961AE">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根据《常州市财政局 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428E13B3">
      <w:pPr>
        <w:pStyle w:val="3"/>
        <w:pBdr>
          <w:top w:val="none" w:color="000000" w:sz="0" w:space="0"/>
          <w:left w:val="none" w:color="000000" w:sz="0" w:space="0"/>
          <w:bottom w:val="none" w:color="000000" w:sz="0" w:space="0"/>
          <w:right w:val="none" w:color="000000" w:sz="0" w:space="0"/>
        </w:pBdr>
        <w:shd w:val="clear" w:color="FFFFFF" w:fill="FFFFFF"/>
        <w:spacing w:before="0" w:after="180"/>
        <w:ind w:left="0" w:right="0" w:firstLine="0"/>
        <w:rPr>
          <w:rFonts w:ascii="宋体" w:hAnsi="宋体" w:cs="宋体"/>
          <w:color w:val="auto"/>
          <w:sz w:val="32"/>
          <w:szCs w:val="22"/>
          <w:highlight w:val="none"/>
        </w:rPr>
      </w:pPr>
      <w:r>
        <w:rPr>
          <w:rFonts w:ascii="宋体" w:hAnsi="宋体" w:eastAsia="宋体" w:cs="宋体"/>
          <w:b/>
          <w:color w:val="auto"/>
          <w:sz w:val="24"/>
          <w:szCs w:val="22"/>
          <w:highlight w:val="none"/>
        </w:rPr>
        <w:t>八、凡对本次采购提出询问，请按以下方式联系。</w:t>
      </w:r>
    </w:p>
    <w:p w14:paraId="4368FA97">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1.采购人信息</w:t>
      </w:r>
    </w:p>
    <w:p w14:paraId="20F957DE">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eastAsia="zh-CN"/>
        </w:rPr>
      </w:pPr>
      <w:r>
        <w:rPr>
          <w:rFonts w:ascii="宋体" w:hAnsi="宋体" w:eastAsia="宋体" w:cs="宋体"/>
          <w:color w:val="auto"/>
          <w:sz w:val="24"/>
          <w:szCs w:val="22"/>
          <w:highlight w:val="none"/>
        </w:rPr>
        <w:t>单位名称：</w:t>
      </w:r>
      <w:r>
        <w:rPr>
          <w:rFonts w:hint="eastAsia" w:ascii="宋体" w:hAnsi="宋体" w:cs="宋体"/>
          <w:color w:val="auto"/>
          <w:sz w:val="24"/>
          <w:szCs w:val="22"/>
          <w:highlight w:val="none"/>
          <w:lang w:eastAsia="zh-CN"/>
        </w:rPr>
        <w:t>常州市武进区妇幼保健计划生育服务中心</w:t>
      </w:r>
    </w:p>
    <w:p w14:paraId="725DD279">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eastAsia="zh-CN"/>
        </w:rPr>
      </w:pPr>
      <w:r>
        <w:rPr>
          <w:rFonts w:ascii="宋体" w:hAnsi="宋体" w:eastAsia="宋体" w:cs="宋体"/>
          <w:color w:val="auto"/>
          <w:sz w:val="24"/>
          <w:szCs w:val="22"/>
          <w:highlight w:val="none"/>
        </w:rPr>
        <w:t>单位地址：</w:t>
      </w:r>
      <w:r>
        <w:rPr>
          <w:rFonts w:hint="eastAsia" w:ascii="宋体" w:hAnsi="宋体" w:eastAsia="宋体" w:cs="宋体"/>
          <w:color w:val="auto"/>
          <w:sz w:val="24"/>
          <w:szCs w:val="22"/>
          <w:highlight w:val="none"/>
        </w:rPr>
        <w:t>常州市武进区湖塘镇府南路2号</w:t>
      </w:r>
      <w:r>
        <w:rPr>
          <w:rFonts w:hint="eastAsia" w:ascii="宋体" w:hAnsi="宋体" w:cs="宋体"/>
          <w:color w:val="auto"/>
          <w:sz w:val="24"/>
          <w:szCs w:val="22"/>
          <w:highlight w:val="none"/>
          <w:lang w:eastAsia="zh-CN"/>
        </w:rPr>
        <w:t xml:space="preserve"> </w:t>
      </w:r>
    </w:p>
    <w:p w14:paraId="5C2F238D">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联系人：李晓玲</w:t>
      </w:r>
    </w:p>
    <w:p w14:paraId="56B2CB91">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eastAsia="zh-CN"/>
        </w:rPr>
      </w:pPr>
      <w:r>
        <w:rPr>
          <w:rFonts w:hint="eastAsia" w:ascii="宋体" w:hAnsi="宋体" w:cs="宋体"/>
          <w:color w:val="auto"/>
          <w:sz w:val="24"/>
          <w:szCs w:val="22"/>
          <w:highlight w:val="none"/>
          <w:lang w:eastAsia="zh-CN"/>
        </w:rPr>
        <w:t>联系电话：13616110066</w:t>
      </w:r>
    </w:p>
    <w:p w14:paraId="05EF9C18">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2.采购代理机构信息（如有）</w:t>
      </w:r>
    </w:p>
    <w:p w14:paraId="00F944EA">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单位名称：常州中宇建设工程管理有限公司</w:t>
      </w:r>
    </w:p>
    <w:p w14:paraId="2180279D">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eastAsia="宋体" w:cs="宋体"/>
          <w:b w:val="0"/>
          <w:bCs w:val="0"/>
          <w:i w:val="0"/>
          <w:iCs w:val="0"/>
          <w:color w:val="auto"/>
          <w:spacing w:val="0"/>
          <w:w w:val="100"/>
          <w:sz w:val="24"/>
          <w:szCs w:val="24"/>
          <w:highlight w:val="none"/>
          <w:u w:val="single"/>
          <w:vertAlign w:val="baseline"/>
        </w:rPr>
      </w:pPr>
      <w:r>
        <w:rPr>
          <w:rFonts w:ascii="宋体" w:hAnsi="宋体" w:eastAsia="宋体" w:cs="宋体"/>
          <w:color w:val="auto"/>
          <w:sz w:val="24"/>
          <w:szCs w:val="22"/>
          <w:highlight w:val="none"/>
        </w:rPr>
        <w:t>单位地址：</w:t>
      </w:r>
      <w:r>
        <w:rPr>
          <w:rFonts w:hint="default" w:ascii="宋体" w:hAnsi="宋体" w:eastAsia="宋体" w:cs="宋体"/>
          <w:b w:val="0"/>
          <w:bCs w:val="0"/>
          <w:i w:val="0"/>
          <w:iCs w:val="0"/>
          <w:color w:val="auto"/>
          <w:spacing w:val="0"/>
          <w:w w:val="100"/>
          <w:sz w:val="24"/>
          <w:szCs w:val="22"/>
          <w:highlight w:val="none"/>
          <w:u w:val="none"/>
          <w:vertAlign w:val="baseline"/>
        </w:rPr>
        <w:t>常州市新北区汉江路338号-南门1栋5楼</w:t>
      </w:r>
    </w:p>
    <w:p w14:paraId="7265F04E">
      <w:pPr>
        <w:pBdr>
          <w:top w:val="none" w:color="000000" w:sz="0" w:space="0"/>
          <w:left w:val="none" w:color="000000" w:sz="0" w:space="0"/>
          <w:bottom w:val="none" w:color="000000" w:sz="0" w:space="0"/>
          <w:right w:val="none" w:color="000000" w:sz="0" w:space="0"/>
        </w:pBdr>
        <w:spacing w:before="0" w:after="280"/>
        <w:ind w:left="0" w:right="0" w:firstLine="0"/>
        <w:rPr>
          <w:rFonts w:hint="eastAsia" w:ascii="宋体" w:hAnsi="宋体" w:cs="宋体"/>
          <w:color w:val="auto"/>
          <w:sz w:val="24"/>
          <w:szCs w:val="22"/>
          <w:highlight w:val="none"/>
          <w:lang w:val="en-US" w:eastAsia="zh-CN"/>
        </w:rPr>
      </w:pPr>
      <w:r>
        <w:rPr>
          <w:rFonts w:ascii="宋体" w:hAnsi="宋体" w:eastAsia="宋体" w:cs="宋体"/>
          <w:color w:val="auto"/>
          <w:sz w:val="24"/>
          <w:szCs w:val="22"/>
          <w:highlight w:val="none"/>
        </w:rPr>
        <w:t>联系人：</w:t>
      </w:r>
      <w:r>
        <w:rPr>
          <w:rFonts w:hint="eastAsia" w:ascii="宋体" w:hAnsi="宋体" w:cs="宋体"/>
          <w:color w:val="auto"/>
          <w:sz w:val="24"/>
          <w:szCs w:val="22"/>
          <w:highlight w:val="none"/>
          <w:lang w:val="en-US" w:eastAsia="zh-CN"/>
        </w:rPr>
        <w:t>乔优</w:t>
      </w:r>
    </w:p>
    <w:p w14:paraId="448F9929">
      <w:pPr>
        <w:pBdr>
          <w:top w:val="none" w:color="000000" w:sz="0" w:space="0"/>
          <w:left w:val="none" w:color="000000" w:sz="0" w:space="0"/>
          <w:bottom w:val="none" w:color="000000" w:sz="0" w:space="0"/>
          <w:right w:val="none" w:color="000000" w:sz="0" w:space="0"/>
        </w:pBdr>
        <w:spacing w:before="0" w:after="21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联系电话：</w:t>
      </w:r>
      <w:r>
        <w:rPr>
          <w:rFonts w:hint="eastAsia" w:ascii="宋体" w:hAnsi="宋体" w:eastAsia="宋体" w:cs="宋体"/>
          <w:color w:val="auto"/>
          <w:sz w:val="24"/>
          <w:szCs w:val="24"/>
          <w:highlight w:val="none"/>
        </w:rPr>
        <w:t>0519-85785155、0519-85782855（财务）</w:t>
      </w:r>
    </w:p>
    <w:p w14:paraId="35D6EEB6">
      <w:pPr>
        <w:pBdr>
          <w:top w:val="none" w:color="000000" w:sz="0" w:space="0"/>
          <w:left w:val="none" w:color="000000" w:sz="0" w:space="0"/>
          <w:bottom w:val="none" w:color="000000" w:sz="0" w:space="0"/>
          <w:right w:val="none" w:color="000000" w:sz="0" w:space="0"/>
        </w:pBdr>
        <w:shd w:val="clear" w:color="FFFFFF" w:fill="FFFFFF"/>
        <w:spacing w:before="0" w:after="210"/>
        <w:ind w:left="0" w:right="0" w:firstLine="0"/>
        <w:rPr>
          <w:rFonts w:ascii="宋体" w:hAnsi="宋体" w:cs="宋体"/>
          <w:color w:val="auto"/>
          <w:sz w:val="20"/>
          <w:szCs w:val="22"/>
          <w:highlight w:val="none"/>
        </w:rPr>
      </w:pPr>
      <w:r>
        <w:rPr>
          <w:rFonts w:ascii="宋体" w:hAnsi="宋体" w:eastAsia="宋体" w:cs="宋体"/>
          <w:color w:val="auto"/>
          <w:sz w:val="24"/>
          <w:szCs w:val="22"/>
          <w:highlight w:val="none"/>
        </w:rPr>
        <w:t>3.项目联系方式</w:t>
      </w:r>
    </w:p>
    <w:p w14:paraId="3687A419">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项目联系人：</w:t>
      </w:r>
      <w:r>
        <w:rPr>
          <w:rFonts w:hint="eastAsia" w:ascii="宋体" w:hAnsi="宋体" w:cs="宋体"/>
          <w:color w:val="auto"/>
          <w:sz w:val="24"/>
          <w:szCs w:val="22"/>
          <w:highlight w:val="none"/>
          <w:lang w:val="en-US" w:eastAsia="zh-CN"/>
        </w:rPr>
        <w:t>乔优</w:t>
      </w:r>
    </w:p>
    <w:p w14:paraId="5C8948B4">
      <w:pPr>
        <w:pBdr>
          <w:top w:val="none" w:color="000000" w:sz="0" w:space="0"/>
          <w:left w:val="none" w:color="000000" w:sz="0" w:space="0"/>
          <w:bottom w:val="none" w:color="000000" w:sz="0" w:space="0"/>
          <w:right w:val="none" w:color="000000" w:sz="0" w:space="0"/>
        </w:pBdr>
        <w:spacing w:before="0" w:after="280"/>
        <w:ind w:left="0" w:right="0" w:firstLine="0"/>
        <w:rPr>
          <w:rFonts w:ascii="宋体" w:hAnsi="宋体" w:cs="宋体"/>
          <w:color w:val="auto"/>
          <w:sz w:val="24"/>
          <w:szCs w:val="22"/>
          <w:highlight w:val="none"/>
        </w:rPr>
      </w:pPr>
      <w:r>
        <w:rPr>
          <w:rFonts w:ascii="宋体" w:hAnsi="宋体" w:eastAsia="宋体" w:cs="宋体"/>
          <w:color w:val="auto"/>
          <w:sz w:val="24"/>
          <w:szCs w:val="22"/>
          <w:highlight w:val="none"/>
        </w:rPr>
        <w:t>电话：</w:t>
      </w:r>
      <w:r>
        <w:rPr>
          <w:rFonts w:hint="eastAsia" w:ascii="宋体" w:hAnsi="宋体" w:eastAsia="宋体" w:cs="宋体"/>
          <w:color w:val="auto"/>
          <w:sz w:val="24"/>
          <w:szCs w:val="24"/>
          <w:highlight w:val="none"/>
        </w:rPr>
        <w:t>0519-85785155</w:t>
      </w:r>
    </w:p>
    <w:p w14:paraId="4F717EBA">
      <w:pPr>
        <w:spacing w:line="360" w:lineRule="auto"/>
        <w:jc w:val="both"/>
        <w:outlineLvl w:val="0"/>
        <w:rPr>
          <w:b/>
          <w:color w:val="auto"/>
          <w:sz w:val="32"/>
          <w:szCs w:val="32"/>
          <w:highlight w:val="none"/>
        </w:rPr>
      </w:pPr>
      <w:r>
        <w:rPr>
          <w:b/>
          <w:color w:val="auto"/>
          <w:sz w:val="36"/>
          <w:szCs w:val="36"/>
          <w:highlight w:val="none"/>
        </w:rPr>
        <w:br w:type="page" w:clear="all"/>
      </w:r>
      <w:bookmarkStart w:id="6" w:name="_Toc18300"/>
      <w:r>
        <w:rPr>
          <w:rFonts w:hint="eastAsia"/>
          <w:b/>
          <w:color w:val="auto"/>
          <w:sz w:val="36"/>
          <w:szCs w:val="36"/>
          <w:highlight w:val="none"/>
          <w:lang w:val="en-US" w:eastAsia="zh-CN"/>
        </w:rPr>
        <w:t xml:space="preserve">              </w:t>
      </w:r>
      <w:r>
        <w:rPr>
          <w:b/>
          <w:color w:val="auto"/>
          <w:sz w:val="36"/>
          <w:szCs w:val="36"/>
          <w:highlight w:val="none"/>
        </w:rPr>
        <w:t>第二章   供应商须知</w:t>
      </w:r>
      <w:bookmarkEnd w:id="6"/>
    </w:p>
    <w:p w14:paraId="2F0976DA">
      <w:pPr>
        <w:pStyle w:val="239"/>
        <w:tabs>
          <w:tab w:val="center" w:pos="4592"/>
          <w:tab w:val="left" w:pos="7860"/>
        </w:tabs>
        <w:spacing w:before="0" w:line="360" w:lineRule="auto"/>
        <w:rPr>
          <w:rFonts w:ascii="Times New Roman" w:hAnsi="Times New Roman" w:eastAsia="宋体"/>
          <w:b w:val="0"/>
          <w:color w:val="auto"/>
          <w:sz w:val="28"/>
          <w:highlight w:val="none"/>
        </w:rPr>
      </w:pPr>
      <w:bookmarkStart w:id="7" w:name="_Toc226309763"/>
      <w:bookmarkStart w:id="8" w:name="_Toc151193907"/>
      <w:bookmarkStart w:id="9" w:name="_Toc151193833"/>
      <w:bookmarkStart w:id="10" w:name="_Toc150480757"/>
      <w:bookmarkStart w:id="11" w:name="_Toc226337215"/>
      <w:bookmarkStart w:id="12" w:name="_Toc164351613"/>
      <w:bookmarkStart w:id="13" w:name="_Toc164608633"/>
      <w:bookmarkStart w:id="14" w:name="_Toc151190146"/>
      <w:bookmarkStart w:id="15" w:name="_Toc150774724"/>
      <w:bookmarkStart w:id="16" w:name="_Toc164229360"/>
      <w:bookmarkStart w:id="17" w:name="_Toc151193617"/>
      <w:bookmarkStart w:id="18" w:name="_Toc164229214"/>
      <w:bookmarkStart w:id="19" w:name="_Toc150509270"/>
      <w:bookmarkStart w:id="20" w:name="_Toc142311021"/>
      <w:bookmarkStart w:id="21" w:name="_Toc195842884"/>
      <w:bookmarkStart w:id="22" w:name="_Toc127151720"/>
      <w:bookmarkStart w:id="23" w:name="_Toc150774619"/>
      <w:bookmarkStart w:id="24" w:name="_Toc149720812"/>
      <w:bookmarkStart w:id="25" w:name="_Toc127151519"/>
      <w:bookmarkStart w:id="26" w:name="_Toc226965709"/>
      <w:bookmarkStart w:id="27" w:name="_Toc226965792"/>
      <w:bookmarkStart w:id="28" w:name="_Toc151193761"/>
      <w:bookmarkStart w:id="29" w:name="_Toc127161433"/>
      <w:bookmarkStart w:id="30" w:name="_Toc164608788"/>
      <w:bookmarkStart w:id="31" w:name="_Toc151193689"/>
      <w:bookmarkStart w:id="32" w:name="_Toc520356144"/>
      <w:r>
        <w:rPr>
          <w:rFonts w:ascii="Times New Roman" w:hAnsi="Times New Roman" w:eastAsia="宋体"/>
          <w:color w:val="auto"/>
          <w:sz w:val="28"/>
          <w:highlight w:val="none"/>
        </w:rPr>
        <w:t>供应商须知资料表</w:t>
      </w:r>
    </w:p>
    <w:p w14:paraId="5D49FF1E">
      <w:pPr>
        <w:jc w:val="center"/>
        <w:rPr>
          <w:b/>
          <w:color w:val="auto"/>
          <w:sz w:val="28"/>
          <w:szCs w:val="28"/>
          <w:highlight w:val="none"/>
        </w:rPr>
      </w:pPr>
    </w:p>
    <w:p w14:paraId="60CC1567">
      <w:pPr>
        <w:spacing w:line="360" w:lineRule="auto"/>
        <w:ind w:firstLine="480"/>
        <w:rPr>
          <w:color w:val="auto"/>
          <w:sz w:val="24"/>
          <w:highlight w:val="none"/>
        </w:rPr>
      </w:pPr>
      <w:r>
        <w:rPr>
          <w:color w:val="auto"/>
          <w:sz w:val="24"/>
          <w:highlight w:val="none"/>
        </w:rPr>
        <w:t>本表是对供应商须知的具体补充和修改，如有矛盾，均以本资料表为准。标记“</w:t>
      </w:r>
      <w:r>
        <w:rPr>
          <w:rFonts w:hint="eastAsia" w:ascii="宋体" w:hAnsi="宋体" w:cs="宋体"/>
          <w:color w:val="auto"/>
          <w:highlight w:val="none"/>
        </w:rPr>
        <w:t>■</w:t>
      </w:r>
      <w:r>
        <w:rPr>
          <w:color w:val="auto"/>
          <w:sz w:val="24"/>
          <w:highlight w:val="none"/>
        </w:rPr>
        <w:t>”的选项意为适用于本项目，标记“</w:t>
      </w:r>
      <w:r>
        <w:rPr>
          <w:rFonts w:hint="eastAsia"/>
          <w:color w:val="auto"/>
          <w:sz w:val="24"/>
          <w:highlight w:val="none"/>
        </w:rPr>
        <w:t>□</w:t>
      </w:r>
      <w:r>
        <w:rPr>
          <w:color w:val="auto"/>
          <w:sz w:val="24"/>
          <w:highlight w:val="none"/>
        </w:rPr>
        <w:t>”的选项意为不适用于本项目。</w:t>
      </w:r>
    </w:p>
    <w:tbl>
      <w:tblPr>
        <w:tblStyle w:val="38"/>
        <w:tblW w:w="99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1701"/>
        <w:gridCol w:w="7253"/>
      </w:tblGrid>
      <w:tr w14:paraId="312E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7E8A1542">
            <w:pPr>
              <w:jc w:val="center"/>
              <w:rPr>
                <w:b/>
                <w:bCs/>
                <w:color w:val="auto"/>
                <w:sz w:val="24"/>
                <w:highlight w:val="none"/>
              </w:rPr>
            </w:pPr>
            <w:r>
              <w:rPr>
                <w:b/>
                <w:color w:val="auto"/>
                <w:sz w:val="24"/>
                <w:highlight w:val="none"/>
              </w:rPr>
              <w:t>条款号</w:t>
            </w:r>
          </w:p>
        </w:tc>
        <w:tc>
          <w:tcPr>
            <w:tcW w:w="1701" w:type="dxa"/>
            <w:noWrap w:val="0"/>
            <w:vAlign w:val="center"/>
          </w:tcPr>
          <w:p w14:paraId="6BC0C1D4">
            <w:pPr>
              <w:jc w:val="center"/>
              <w:rPr>
                <w:b/>
                <w:bCs/>
                <w:color w:val="auto"/>
                <w:sz w:val="24"/>
                <w:highlight w:val="none"/>
              </w:rPr>
            </w:pPr>
            <w:r>
              <w:rPr>
                <w:b/>
                <w:bCs/>
                <w:color w:val="auto"/>
                <w:sz w:val="24"/>
                <w:highlight w:val="none"/>
              </w:rPr>
              <w:t>条目</w:t>
            </w:r>
          </w:p>
        </w:tc>
        <w:tc>
          <w:tcPr>
            <w:tcW w:w="7253" w:type="dxa"/>
            <w:noWrap w:val="0"/>
            <w:vAlign w:val="center"/>
          </w:tcPr>
          <w:p w14:paraId="7936C042">
            <w:pPr>
              <w:jc w:val="center"/>
              <w:rPr>
                <w:b/>
                <w:bCs/>
                <w:color w:val="auto"/>
                <w:sz w:val="24"/>
                <w:highlight w:val="none"/>
              </w:rPr>
            </w:pPr>
            <w:r>
              <w:rPr>
                <w:b/>
                <w:bCs/>
                <w:color w:val="auto"/>
                <w:sz w:val="24"/>
                <w:highlight w:val="none"/>
              </w:rPr>
              <w:t>内容</w:t>
            </w:r>
          </w:p>
        </w:tc>
      </w:tr>
      <w:tr w14:paraId="1F0A8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D3A353A">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2.2</w:t>
            </w:r>
          </w:p>
        </w:tc>
        <w:tc>
          <w:tcPr>
            <w:tcW w:w="1701" w:type="dxa"/>
            <w:noWrap w:val="0"/>
            <w:vAlign w:val="center"/>
          </w:tcPr>
          <w:p w14:paraId="730273AE">
            <w:pPr>
              <w:jc w:val="center"/>
              <w:rPr>
                <w:color w:val="auto"/>
                <w:sz w:val="24"/>
                <w:highlight w:val="none"/>
              </w:rPr>
            </w:pPr>
            <w:r>
              <w:rPr>
                <w:color w:val="auto"/>
                <w:sz w:val="24"/>
                <w:highlight w:val="none"/>
              </w:rPr>
              <w:t>项目属性</w:t>
            </w:r>
          </w:p>
        </w:tc>
        <w:tc>
          <w:tcPr>
            <w:tcW w:w="7253" w:type="dxa"/>
            <w:noWrap w:val="0"/>
            <w:vAlign w:val="center"/>
          </w:tcPr>
          <w:p w14:paraId="06E681BB">
            <w:pPr>
              <w:jc w:val="left"/>
              <w:rPr>
                <w:color w:val="auto"/>
                <w:sz w:val="24"/>
                <w:highlight w:val="none"/>
              </w:rPr>
            </w:pPr>
            <w:r>
              <w:rPr>
                <w:color w:val="auto"/>
                <w:sz w:val="24"/>
                <w:highlight w:val="none"/>
              </w:rPr>
              <w:t>项目属性：</w:t>
            </w:r>
          </w:p>
          <w:p w14:paraId="7D7DCE2A">
            <w:pPr>
              <w:jc w:val="left"/>
              <w:rPr>
                <w:color w:val="auto"/>
                <w:sz w:val="24"/>
                <w:highlight w:val="none"/>
              </w:rPr>
            </w:pPr>
            <w:r>
              <w:rPr>
                <w:rFonts w:hint="eastAsia" w:ascii="宋体" w:hAnsi="宋体" w:cs="宋体"/>
                <w:color w:val="auto"/>
                <w:highlight w:val="none"/>
              </w:rPr>
              <w:t>■</w:t>
            </w:r>
            <w:r>
              <w:rPr>
                <w:color w:val="auto"/>
                <w:sz w:val="24"/>
                <w:highlight w:val="none"/>
              </w:rPr>
              <w:t>服务</w:t>
            </w:r>
          </w:p>
          <w:p w14:paraId="1C592B60">
            <w:pPr>
              <w:jc w:val="left"/>
              <w:rPr>
                <w:color w:val="auto"/>
                <w:sz w:val="24"/>
                <w:highlight w:val="none"/>
              </w:rPr>
            </w:pPr>
            <w:r>
              <w:rPr>
                <w:rFonts w:hint="eastAsia"/>
                <w:color w:val="auto"/>
                <w:sz w:val="24"/>
                <w:highlight w:val="none"/>
              </w:rPr>
              <w:t>□</w:t>
            </w:r>
            <w:r>
              <w:rPr>
                <w:color w:val="auto"/>
                <w:sz w:val="24"/>
                <w:highlight w:val="none"/>
              </w:rPr>
              <w:t>货物</w:t>
            </w:r>
          </w:p>
          <w:p w14:paraId="1429035D">
            <w:pPr>
              <w:jc w:val="left"/>
              <w:rPr>
                <w:color w:val="auto"/>
                <w:sz w:val="24"/>
                <w:highlight w:val="none"/>
                <w:u w:val="single"/>
              </w:rPr>
            </w:pPr>
            <w:r>
              <w:rPr>
                <w:rFonts w:hint="eastAsia"/>
                <w:color w:val="auto"/>
                <w:sz w:val="24"/>
                <w:highlight w:val="none"/>
              </w:rPr>
              <w:t>□工程</w:t>
            </w:r>
          </w:p>
        </w:tc>
      </w:tr>
      <w:tr w14:paraId="165E7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F6B664C">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w:t>
            </w:r>
          </w:p>
        </w:tc>
        <w:tc>
          <w:tcPr>
            <w:tcW w:w="1701" w:type="dxa"/>
            <w:noWrap w:val="0"/>
            <w:vAlign w:val="center"/>
          </w:tcPr>
          <w:p w14:paraId="04FAF933">
            <w:pPr>
              <w:jc w:val="center"/>
              <w:rPr>
                <w:color w:val="auto"/>
                <w:sz w:val="24"/>
                <w:highlight w:val="none"/>
              </w:rPr>
            </w:pPr>
            <w:r>
              <w:rPr>
                <w:color w:val="auto"/>
                <w:sz w:val="24"/>
                <w:highlight w:val="none"/>
              </w:rPr>
              <w:t>科研仪器设备</w:t>
            </w:r>
          </w:p>
        </w:tc>
        <w:tc>
          <w:tcPr>
            <w:tcW w:w="7253" w:type="dxa"/>
            <w:noWrap w:val="0"/>
            <w:vAlign w:val="center"/>
          </w:tcPr>
          <w:p w14:paraId="6AA67BBE">
            <w:pPr>
              <w:jc w:val="left"/>
              <w:rPr>
                <w:color w:val="auto"/>
                <w:sz w:val="24"/>
                <w:highlight w:val="none"/>
              </w:rPr>
            </w:pPr>
            <w:r>
              <w:rPr>
                <w:color w:val="auto"/>
                <w:sz w:val="24"/>
                <w:highlight w:val="none"/>
              </w:rPr>
              <w:t>是否属于科研仪器设备采购项目：</w:t>
            </w:r>
          </w:p>
          <w:p w14:paraId="12D92993">
            <w:pPr>
              <w:jc w:val="left"/>
              <w:rPr>
                <w:color w:val="auto"/>
                <w:sz w:val="24"/>
                <w:highlight w:val="none"/>
              </w:rPr>
            </w:pPr>
            <w:r>
              <w:rPr>
                <w:rFonts w:hint="eastAsia"/>
                <w:color w:val="auto"/>
                <w:sz w:val="24"/>
                <w:highlight w:val="none"/>
              </w:rPr>
              <w:t>□</w:t>
            </w:r>
            <w:r>
              <w:rPr>
                <w:color w:val="auto"/>
                <w:sz w:val="24"/>
                <w:highlight w:val="none"/>
              </w:rPr>
              <w:t>是</w:t>
            </w:r>
          </w:p>
          <w:p w14:paraId="42741684">
            <w:pPr>
              <w:jc w:val="left"/>
              <w:rPr>
                <w:color w:val="auto"/>
                <w:sz w:val="24"/>
                <w:highlight w:val="none"/>
              </w:rPr>
            </w:pPr>
            <w:r>
              <w:rPr>
                <w:rFonts w:hint="eastAsia" w:ascii="宋体" w:hAnsi="宋体" w:cs="宋体"/>
                <w:color w:val="auto"/>
                <w:highlight w:val="none"/>
              </w:rPr>
              <w:t>■</w:t>
            </w:r>
            <w:r>
              <w:rPr>
                <w:color w:val="auto"/>
                <w:sz w:val="24"/>
                <w:highlight w:val="none"/>
              </w:rPr>
              <w:t>否</w:t>
            </w:r>
          </w:p>
        </w:tc>
      </w:tr>
      <w:tr w14:paraId="1FA99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2B252FBE">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3.1</w:t>
            </w:r>
          </w:p>
        </w:tc>
        <w:tc>
          <w:tcPr>
            <w:tcW w:w="1701" w:type="dxa"/>
            <w:noWrap w:val="0"/>
            <w:vAlign w:val="center"/>
          </w:tcPr>
          <w:p w14:paraId="3775FE6E">
            <w:pPr>
              <w:jc w:val="center"/>
              <w:rPr>
                <w:color w:val="auto"/>
                <w:sz w:val="24"/>
                <w:highlight w:val="none"/>
              </w:rPr>
            </w:pPr>
            <w:r>
              <w:rPr>
                <w:color w:val="auto"/>
                <w:sz w:val="24"/>
                <w:highlight w:val="none"/>
              </w:rPr>
              <w:t>现场考察</w:t>
            </w:r>
          </w:p>
        </w:tc>
        <w:tc>
          <w:tcPr>
            <w:tcW w:w="7253" w:type="dxa"/>
            <w:noWrap w:val="0"/>
            <w:vAlign w:val="center"/>
          </w:tcPr>
          <w:p w14:paraId="56992730">
            <w:pPr>
              <w:jc w:val="left"/>
              <w:rPr>
                <w:color w:val="auto"/>
                <w:sz w:val="24"/>
                <w:highlight w:val="none"/>
              </w:rPr>
            </w:pPr>
            <w:r>
              <w:rPr>
                <w:rFonts w:hint="eastAsia" w:ascii="宋体" w:hAnsi="宋体" w:cs="宋体"/>
                <w:color w:val="auto"/>
                <w:highlight w:val="none"/>
              </w:rPr>
              <w:t>■</w:t>
            </w:r>
            <w:r>
              <w:rPr>
                <w:color w:val="auto"/>
                <w:sz w:val="24"/>
                <w:highlight w:val="none"/>
              </w:rPr>
              <w:t>不组织</w:t>
            </w:r>
          </w:p>
          <w:p w14:paraId="213D4D61">
            <w:pPr>
              <w:jc w:val="left"/>
              <w:rPr>
                <w:bCs/>
                <w:color w:val="auto"/>
                <w:sz w:val="24"/>
                <w:highlight w:val="none"/>
              </w:rPr>
            </w:pPr>
            <w:r>
              <w:rPr>
                <w:color w:val="auto"/>
                <w:highlight w:val="none"/>
              </w:rPr>
              <w:t>□</w:t>
            </w:r>
            <w:r>
              <w:rPr>
                <w:color w:val="auto"/>
                <w:sz w:val="24"/>
                <w:highlight w:val="none"/>
              </w:rPr>
              <w:t>组织，考察时间：_</w:t>
            </w:r>
            <w:r>
              <w:rPr>
                <w:rFonts w:hint="eastAsia"/>
                <w:color w:val="auto"/>
                <w:sz w:val="24"/>
                <w:highlight w:val="none"/>
              </w:rPr>
              <w:t>/</w:t>
            </w:r>
            <w:r>
              <w:rPr>
                <w:color w:val="auto"/>
                <w:sz w:val="24"/>
                <w:highlight w:val="none"/>
              </w:rPr>
              <w:t>_年_</w:t>
            </w:r>
            <w:r>
              <w:rPr>
                <w:rFonts w:hint="eastAsia"/>
                <w:color w:val="auto"/>
                <w:sz w:val="24"/>
                <w:highlight w:val="none"/>
              </w:rPr>
              <w:t>/</w:t>
            </w:r>
            <w:r>
              <w:rPr>
                <w:color w:val="auto"/>
                <w:sz w:val="24"/>
                <w:highlight w:val="none"/>
              </w:rPr>
              <w:t>__月_</w:t>
            </w:r>
            <w:r>
              <w:rPr>
                <w:rFonts w:hint="eastAsia"/>
                <w:color w:val="auto"/>
                <w:sz w:val="24"/>
                <w:highlight w:val="none"/>
              </w:rPr>
              <w:t>/</w:t>
            </w:r>
            <w:r>
              <w:rPr>
                <w:color w:val="auto"/>
                <w:sz w:val="24"/>
                <w:highlight w:val="none"/>
              </w:rPr>
              <w:t>__日__</w:t>
            </w:r>
            <w:r>
              <w:rPr>
                <w:rFonts w:hint="eastAsia"/>
                <w:color w:val="auto"/>
                <w:sz w:val="24"/>
                <w:highlight w:val="none"/>
              </w:rPr>
              <w:t>/</w:t>
            </w:r>
            <w:r>
              <w:rPr>
                <w:color w:val="auto"/>
                <w:sz w:val="24"/>
                <w:highlight w:val="none"/>
              </w:rPr>
              <w:t>_点__</w:t>
            </w:r>
            <w:r>
              <w:rPr>
                <w:rFonts w:hint="eastAsia"/>
                <w:color w:val="auto"/>
                <w:sz w:val="24"/>
                <w:highlight w:val="none"/>
              </w:rPr>
              <w:t>/</w:t>
            </w:r>
            <w:r>
              <w:rPr>
                <w:color w:val="auto"/>
                <w:sz w:val="24"/>
                <w:highlight w:val="none"/>
              </w:rPr>
              <w:t>_分</w:t>
            </w:r>
          </w:p>
          <w:p w14:paraId="609D70FF">
            <w:pPr>
              <w:pStyle w:val="276"/>
              <w:rPr>
                <w:rFonts w:hint="default" w:ascii="Times New Roman" w:hAnsi="Times New Roman"/>
                <w:color w:val="auto"/>
                <w:sz w:val="24"/>
                <w:highlight w:val="none"/>
              </w:rPr>
            </w:pPr>
            <w:r>
              <w:rPr>
                <w:rFonts w:ascii="Times New Roman" w:hAnsi="Times New Roman"/>
                <w:color w:val="auto"/>
                <w:sz w:val="24"/>
                <w:highlight w:val="none"/>
              </w:rPr>
              <w:t>考察地点：__/_________。</w:t>
            </w:r>
          </w:p>
          <w:p w14:paraId="33CE23E5">
            <w:pPr>
              <w:pStyle w:val="276"/>
              <w:rPr>
                <w:rFonts w:hint="default" w:ascii="Times New Roman" w:hAnsi="Times New Roman"/>
                <w:color w:val="auto"/>
                <w:sz w:val="24"/>
                <w:highlight w:val="none"/>
              </w:rPr>
            </w:pPr>
            <w:r>
              <w:rPr>
                <w:color w:val="auto"/>
                <w:sz w:val="24"/>
                <w:highlight w:val="none"/>
              </w:rPr>
              <w:t>供应商按上述时间、地点对现场和周围环境进行现场考察，以获取有关编制响应文件和签署合同所需的各项资料；熟悉项目</w:t>
            </w:r>
            <w:r>
              <w:rPr>
                <w:rFonts w:hint="eastAsia"/>
                <w:color w:val="auto"/>
                <w:sz w:val="24"/>
                <w:highlight w:val="none"/>
                <w:lang w:eastAsia="zh-CN"/>
              </w:rPr>
              <w:t>实施</w:t>
            </w:r>
            <w:r>
              <w:rPr>
                <w:color w:val="auto"/>
                <w:sz w:val="24"/>
                <w:highlight w:val="none"/>
              </w:rPr>
              <w:t>区域内的情况及周围环境，了解一切可能影响投标方案及报价的资料，承担踏勘现场的责任和风险；供应商一旦中标，不得以不完全了解</w:t>
            </w:r>
            <w:r>
              <w:rPr>
                <w:rFonts w:hint="eastAsia"/>
                <w:color w:val="auto"/>
                <w:sz w:val="24"/>
                <w:highlight w:val="none"/>
                <w:lang w:eastAsia="zh-CN"/>
              </w:rPr>
              <w:t>实施</w:t>
            </w:r>
            <w:r>
              <w:rPr>
                <w:color w:val="auto"/>
                <w:sz w:val="24"/>
                <w:highlight w:val="none"/>
              </w:rPr>
              <w:t>现场及周围环境情况为借口，提出额外补偿或延长工期的要求；供应商必须承担踏勘现场的安全责任，并承担一切费用。</w:t>
            </w:r>
          </w:p>
        </w:tc>
      </w:tr>
      <w:tr w14:paraId="779D8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1AB37B4D">
            <w:pPr>
              <w:pStyle w:val="276"/>
              <w:jc w:val="center"/>
              <w:rPr>
                <w:rFonts w:hint="default" w:ascii="Times New Roman" w:hAnsi="Times New Roman"/>
                <w:color w:val="auto"/>
                <w:sz w:val="24"/>
                <w:szCs w:val="24"/>
                <w:highlight w:val="none"/>
              </w:rPr>
            </w:pPr>
          </w:p>
        </w:tc>
        <w:tc>
          <w:tcPr>
            <w:tcW w:w="1701" w:type="dxa"/>
            <w:noWrap w:val="0"/>
            <w:vAlign w:val="center"/>
          </w:tcPr>
          <w:p w14:paraId="4129B1A7">
            <w:pPr>
              <w:jc w:val="center"/>
              <w:rPr>
                <w:color w:val="auto"/>
                <w:sz w:val="24"/>
                <w:highlight w:val="none"/>
              </w:rPr>
            </w:pPr>
            <w:r>
              <w:rPr>
                <w:color w:val="auto"/>
                <w:sz w:val="24"/>
                <w:highlight w:val="none"/>
              </w:rPr>
              <w:t>磋商前答疑会</w:t>
            </w:r>
          </w:p>
        </w:tc>
        <w:tc>
          <w:tcPr>
            <w:tcW w:w="7253" w:type="dxa"/>
            <w:noWrap w:val="0"/>
            <w:vAlign w:val="center"/>
          </w:tcPr>
          <w:p w14:paraId="452BA907">
            <w:pPr>
              <w:jc w:val="left"/>
              <w:rPr>
                <w:color w:val="auto"/>
                <w:sz w:val="24"/>
                <w:highlight w:val="none"/>
              </w:rPr>
            </w:pPr>
            <w:r>
              <w:rPr>
                <w:rFonts w:hint="eastAsia" w:ascii="宋体" w:hAnsi="宋体" w:cs="宋体"/>
                <w:color w:val="auto"/>
                <w:highlight w:val="none"/>
              </w:rPr>
              <w:t>■</w:t>
            </w:r>
            <w:r>
              <w:rPr>
                <w:color w:val="auto"/>
                <w:sz w:val="24"/>
                <w:highlight w:val="none"/>
              </w:rPr>
              <w:t>不召开</w:t>
            </w:r>
          </w:p>
          <w:p w14:paraId="420971B6">
            <w:pPr>
              <w:jc w:val="left"/>
              <w:rPr>
                <w:color w:val="auto"/>
                <w:sz w:val="24"/>
                <w:highlight w:val="none"/>
              </w:rPr>
            </w:pPr>
            <w:r>
              <w:rPr>
                <w:rFonts w:hint="eastAsia"/>
                <w:color w:val="auto"/>
                <w:sz w:val="24"/>
                <w:highlight w:val="none"/>
              </w:rPr>
              <w:t>□</w:t>
            </w:r>
            <w:r>
              <w:rPr>
                <w:color w:val="auto"/>
                <w:sz w:val="24"/>
                <w:highlight w:val="none"/>
              </w:rPr>
              <w:t>召开，召开时间：__</w:t>
            </w:r>
            <w:r>
              <w:rPr>
                <w:rFonts w:hint="eastAsia"/>
                <w:color w:val="auto"/>
                <w:sz w:val="24"/>
                <w:highlight w:val="none"/>
              </w:rPr>
              <w:t>/</w:t>
            </w:r>
            <w:r>
              <w:rPr>
                <w:color w:val="auto"/>
                <w:sz w:val="24"/>
                <w:highlight w:val="none"/>
              </w:rPr>
              <w:t>_年__</w:t>
            </w:r>
            <w:r>
              <w:rPr>
                <w:rFonts w:hint="eastAsia"/>
                <w:color w:val="auto"/>
                <w:sz w:val="24"/>
                <w:highlight w:val="none"/>
              </w:rPr>
              <w:t>/</w:t>
            </w:r>
            <w:r>
              <w:rPr>
                <w:color w:val="auto"/>
                <w:sz w:val="24"/>
                <w:highlight w:val="none"/>
              </w:rPr>
              <w:t>_月_</w:t>
            </w:r>
            <w:r>
              <w:rPr>
                <w:rFonts w:hint="eastAsia"/>
                <w:color w:val="auto"/>
                <w:sz w:val="24"/>
                <w:highlight w:val="none"/>
              </w:rPr>
              <w:t>/</w:t>
            </w:r>
            <w:r>
              <w:rPr>
                <w:color w:val="auto"/>
                <w:sz w:val="24"/>
                <w:highlight w:val="none"/>
              </w:rPr>
              <w:t>__日__</w:t>
            </w:r>
            <w:r>
              <w:rPr>
                <w:rFonts w:hint="eastAsia"/>
                <w:color w:val="auto"/>
                <w:sz w:val="24"/>
                <w:highlight w:val="none"/>
              </w:rPr>
              <w:t>/</w:t>
            </w:r>
            <w:r>
              <w:rPr>
                <w:color w:val="auto"/>
                <w:sz w:val="24"/>
                <w:highlight w:val="none"/>
              </w:rPr>
              <w:t>_点_</w:t>
            </w:r>
            <w:r>
              <w:rPr>
                <w:rFonts w:hint="eastAsia"/>
                <w:color w:val="auto"/>
                <w:sz w:val="24"/>
                <w:highlight w:val="none"/>
              </w:rPr>
              <w:t>/</w:t>
            </w:r>
            <w:r>
              <w:rPr>
                <w:color w:val="auto"/>
                <w:sz w:val="24"/>
                <w:highlight w:val="none"/>
              </w:rPr>
              <w:t>__分</w:t>
            </w:r>
          </w:p>
          <w:p w14:paraId="6903BE8F">
            <w:pPr>
              <w:jc w:val="left"/>
              <w:rPr>
                <w:color w:val="auto"/>
                <w:sz w:val="24"/>
                <w:highlight w:val="none"/>
              </w:rPr>
            </w:pPr>
            <w:r>
              <w:rPr>
                <w:color w:val="auto"/>
                <w:sz w:val="24"/>
                <w:highlight w:val="none"/>
              </w:rPr>
              <w:t>召开地点：___</w:t>
            </w:r>
            <w:r>
              <w:rPr>
                <w:rFonts w:hint="eastAsia"/>
                <w:color w:val="auto"/>
                <w:sz w:val="24"/>
                <w:highlight w:val="none"/>
              </w:rPr>
              <w:t>/</w:t>
            </w:r>
            <w:r>
              <w:rPr>
                <w:color w:val="auto"/>
                <w:sz w:val="24"/>
                <w:highlight w:val="none"/>
              </w:rPr>
              <w:t>________</w:t>
            </w:r>
            <w:r>
              <w:rPr>
                <w:rFonts w:hint="eastAsia"/>
                <w:color w:val="auto"/>
                <w:sz w:val="24"/>
                <w:highlight w:val="none"/>
              </w:rPr>
              <w:t>。</w:t>
            </w:r>
          </w:p>
        </w:tc>
      </w:tr>
      <w:tr w14:paraId="6064B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988" w:type="dxa"/>
            <w:noWrap w:val="0"/>
            <w:vAlign w:val="center"/>
          </w:tcPr>
          <w:p w14:paraId="3A6A4B18">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4.2.5</w:t>
            </w:r>
          </w:p>
        </w:tc>
        <w:tc>
          <w:tcPr>
            <w:tcW w:w="1701" w:type="dxa"/>
            <w:noWrap w:val="0"/>
            <w:vAlign w:val="center"/>
          </w:tcPr>
          <w:p w14:paraId="50364C13">
            <w:pPr>
              <w:jc w:val="center"/>
              <w:rPr>
                <w:color w:val="auto"/>
                <w:sz w:val="24"/>
                <w:highlight w:val="none"/>
              </w:rPr>
            </w:pPr>
            <w:r>
              <w:rPr>
                <w:color w:val="auto"/>
                <w:sz w:val="24"/>
                <w:highlight w:val="none"/>
              </w:rPr>
              <w:t>标的所属行业</w:t>
            </w:r>
          </w:p>
        </w:tc>
        <w:tc>
          <w:tcPr>
            <w:tcW w:w="7253" w:type="dxa"/>
            <w:noWrap w:val="0"/>
            <w:vAlign w:val="center"/>
          </w:tcPr>
          <w:p w14:paraId="1A8053A9">
            <w:pPr>
              <w:jc w:val="left"/>
              <w:rPr>
                <w:color w:val="auto"/>
                <w:sz w:val="24"/>
                <w:highlight w:val="none"/>
              </w:rPr>
            </w:pPr>
            <w:r>
              <w:rPr>
                <w:color w:val="auto"/>
                <w:sz w:val="24"/>
                <w:highlight w:val="none"/>
              </w:rPr>
              <w:t>本项目采购标的对应的中小企业划分标准所属行业：</w:t>
            </w:r>
            <w:r>
              <w:rPr>
                <w:b/>
                <w:bCs/>
                <w:color w:val="auto"/>
                <w:sz w:val="24"/>
                <w:highlight w:val="none"/>
              </w:rPr>
              <w:t>其他未列明行业</w:t>
            </w:r>
          </w:p>
        </w:tc>
      </w:tr>
      <w:tr w14:paraId="43CC0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988" w:type="dxa"/>
            <w:noWrap w:val="0"/>
            <w:vAlign w:val="center"/>
          </w:tcPr>
          <w:p w14:paraId="09924708">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10.2</w:t>
            </w:r>
          </w:p>
        </w:tc>
        <w:tc>
          <w:tcPr>
            <w:tcW w:w="1701" w:type="dxa"/>
            <w:noWrap w:val="0"/>
            <w:vAlign w:val="center"/>
          </w:tcPr>
          <w:p w14:paraId="473764A2">
            <w:pPr>
              <w:jc w:val="center"/>
              <w:rPr>
                <w:color w:val="auto"/>
                <w:sz w:val="24"/>
                <w:highlight w:val="none"/>
              </w:rPr>
            </w:pPr>
            <w:r>
              <w:rPr>
                <w:color w:val="auto"/>
                <w:sz w:val="24"/>
                <w:highlight w:val="none"/>
              </w:rPr>
              <w:t>报价</w:t>
            </w:r>
          </w:p>
        </w:tc>
        <w:tc>
          <w:tcPr>
            <w:tcW w:w="7253" w:type="dxa"/>
            <w:noWrap w:val="0"/>
            <w:vAlign w:val="center"/>
          </w:tcPr>
          <w:p w14:paraId="6F8E252B">
            <w:pPr>
              <w:jc w:val="left"/>
              <w:rPr>
                <w:color w:val="auto"/>
                <w:sz w:val="24"/>
                <w:highlight w:val="none"/>
              </w:rPr>
            </w:pPr>
            <w:r>
              <w:rPr>
                <w:color w:val="auto"/>
                <w:sz w:val="24"/>
                <w:highlight w:val="none"/>
              </w:rPr>
              <w:t>报价的特殊规定：</w:t>
            </w:r>
          </w:p>
          <w:p w14:paraId="4A66CF73">
            <w:pPr>
              <w:jc w:val="left"/>
              <w:rPr>
                <w:color w:val="auto"/>
                <w:sz w:val="24"/>
                <w:highlight w:val="none"/>
              </w:rPr>
            </w:pPr>
            <w:r>
              <w:rPr>
                <w:rFonts w:hint="eastAsia"/>
                <w:color w:val="auto"/>
                <w:sz w:val="24"/>
                <w:highlight w:val="none"/>
              </w:rPr>
              <w:t>□</w:t>
            </w:r>
            <w:r>
              <w:rPr>
                <w:color w:val="auto"/>
                <w:sz w:val="24"/>
                <w:highlight w:val="none"/>
              </w:rPr>
              <w:t>无</w:t>
            </w:r>
          </w:p>
          <w:p w14:paraId="2319318A">
            <w:pPr>
              <w:jc w:val="left"/>
              <w:rPr>
                <w:color w:val="auto"/>
                <w:sz w:val="24"/>
                <w:highlight w:val="none"/>
              </w:rPr>
            </w:pPr>
            <w:r>
              <w:rPr>
                <w:rFonts w:hint="eastAsia" w:ascii="宋体" w:hAnsi="宋体" w:cs="宋体"/>
                <w:color w:val="auto"/>
                <w:highlight w:val="none"/>
              </w:rPr>
              <w:t>■</w:t>
            </w:r>
            <w:r>
              <w:rPr>
                <w:color w:val="auto"/>
                <w:sz w:val="24"/>
                <w:highlight w:val="none"/>
              </w:rPr>
              <w:t>有，具体情形：</w:t>
            </w:r>
            <w:r>
              <w:rPr>
                <w:rFonts w:hint="eastAsia" w:ascii="宋体" w:hAnsi="宋体" w:cs="宋体"/>
                <w:b/>
                <w:bCs/>
                <w:color w:val="auto"/>
                <w:sz w:val="24"/>
                <w:highlight w:val="none"/>
                <w:u w:val="single"/>
              </w:rPr>
              <w:t>本项目采用两次报价，响应文件的报价作为首次报价，在磋商结束后，磋商小组应当要求所有实质性响应的供应商在规定时间内提交最终报价。</w:t>
            </w:r>
          </w:p>
        </w:tc>
      </w:tr>
      <w:tr w14:paraId="43C98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C3162B6">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11.1</w:t>
            </w:r>
          </w:p>
        </w:tc>
        <w:tc>
          <w:tcPr>
            <w:tcW w:w="1701" w:type="dxa"/>
            <w:noWrap w:val="0"/>
            <w:vAlign w:val="center"/>
          </w:tcPr>
          <w:p w14:paraId="3F07BD78">
            <w:pPr>
              <w:jc w:val="center"/>
              <w:rPr>
                <w:color w:val="auto"/>
                <w:sz w:val="24"/>
                <w:highlight w:val="none"/>
              </w:rPr>
            </w:pPr>
            <w:r>
              <w:rPr>
                <w:color w:val="auto"/>
                <w:sz w:val="24"/>
                <w:highlight w:val="none"/>
              </w:rPr>
              <w:t>磋商保证金</w:t>
            </w:r>
          </w:p>
        </w:tc>
        <w:tc>
          <w:tcPr>
            <w:tcW w:w="7253" w:type="dxa"/>
            <w:noWrap w:val="0"/>
            <w:vAlign w:val="center"/>
          </w:tcPr>
          <w:p w14:paraId="73DB6731">
            <w:pPr>
              <w:jc w:val="left"/>
              <w:rPr>
                <w:color w:val="auto"/>
                <w:sz w:val="24"/>
                <w:highlight w:val="none"/>
              </w:rPr>
            </w:pPr>
            <w:r>
              <w:rPr>
                <w:rFonts w:hint="eastAsia"/>
                <w:color w:val="auto"/>
                <w:sz w:val="24"/>
                <w:highlight w:val="none"/>
              </w:rPr>
              <w:t>免收</w:t>
            </w:r>
          </w:p>
        </w:tc>
      </w:tr>
      <w:tr w14:paraId="2019B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03EB33C">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12.1</w:t>
            </w:r>
          </w:p>
        </w:tc>
        <w:tc>
          <w:tcPr>
            <w:tcW w:w="1701" w:type="dxa"/>
            <w:noWrap w:val="0"/>
            <w:vAlign w:val="center"/>
          </w:tcPr>
          <w:p w14:paraId="22EB1644">
            <w:pPr>
              <w:jc w:val="center"/>
              <w:rPr>
                <w:color w:val="auto"/>
                <w:sz w:val="24"/>
                <w:highlight w:val="none"/>
              </w:rPr>
            </w:pPr>
            <w:r>
              <w:rPr>
                <w:color w:val="auto"/>
                <w:sz w:val="24"/>
                <w:highlight w:val="none"/>
              </w:rPr>
              <w:t>响应有效期</w:t>
            </w:r>
          </w:p>
        </w:tc>
        <w:tc>
          <w:tcPr>
            <w:tcW w:w="7253" w:type="dxa"/>
            <w:noWrap w:val="0"/>
            <w:vAlign w:val="center"/>
          </w:tcPr>
          <w:p w14:paraId="1568F68F">
            <w:pPr>
              <w:jc w:val="left"/>
              <w:rPr>
                <w:color w:val="auto"/>
                <w:sz w:val="24"/>
                <w:highlight w:val="none"/>
              </w:rPr>
            </w:pPr>
            <w:r>
              <w:rPr>
                <w:color w:val="auto"/>
                <w:sz w:val="24"/>
                <w:highlight w:val="none"/>
              </w:rPr>
              <w:t>自提交响应文件的截止之日起算</w:t>
            </w:r>
            <w:r>
              <w:rPr>
                <w:rFonts w:hint="eastAsia"/>
                <w:color w:val="auto"/>
                <w:sz w:val="24"/>
                <w:highlight w:val="none"/>
              </w:rPr>
              <w:t>60</w:t>
            </w:r>
            <w:r>
              <w:rPr>
                <w:color w:val="auto"/>
                <w:sz w:val="24"/>
                <w:highlight w:val="none"/>
              </w:rPr>
              <w:t>日历天。</w:t>
            </w:r>
          </w:p>
        </w:tc>
      </w:tr>
      <w:tr w14:paraId="7CF8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1185F36">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23.5</w:t>
            </w:r>
          </w:p>
        </w:tc>
        <w:tc>
          <w:tcPr>
            <w:tcW w:w="1701" w:type="dxa"/>
            <w:noWrap w:val="0"/>
            <w:vAlign w:val="center"/>
          </w:tcPr>
          <w:p w14:paraId="1487C474">
            <w:pPr>
              <w:jc w:val="center"/>
              <w:rPr>
                <w:color w:val="auto"/>
                <w:sz w:val="24"/>
                <w:highlight w:val="none"/>
              </w:rPr>
            </w:pPr>
            <w:r>
              <w:rPr>
                <w:color w:val="auto"/>
                <w:sz w:val="24"/>
                <w:highlight w:val="none"/>
              </w:rPr>
              <w:t>分包</w:t>
            </w:r>
          </w:p>
        </w:tc>
        <w:tc>
          <w:tcPr>
            <w:tcW w:w="7253" w:type="dxa"/>
            <w:noWrap w:val="0"/>
            <w:vAlign w:val="center"/>
          </w:tcPr>
          <w:p w14:paraId="09BC46FB">
            <w:pPr>
              <w:jc w:val="left"/>
              <w:rPr>
                <w:color w:val="auto"/>
                <w:sz w:val="24"/>
                <w:highlight w:val="none"/>
              </w:rPr>
            </w:pPr>
            <w:r>
              <w:rPr>
                <w:color w:val="auto"/>
                <w:sz w:val="24"/>
                <w:highlight w:val="none"/>
              </w:rPr>
              <w:t xml:space="preserve">本项目是否允许分包： </w:t>
            </w:r>
          </w:p>
          <w:p w14:paraId="4172380B">
            <w:pPr>
              <w:jc w:val="left"/>
              <w:rPr>
                <w:color w:val="auto"/>
                <w:sz w:val="24"/>
                <w:highlight w:val="none"/>
              </w:rPr>
            </w:pPr>
            <w:r>
              <w:rPr>
                <w:rFonts w:hint="eastAsia" w:ascii="宋体" w:hAnsi="宋体" w:cs="宋体"/>
                <w:color w:val="auto"/>
                <w:highlight w:val="none"/>
              </w:rPr>
              <w:t>■</w:t>
            </w:r>
            <w:r>
              <w:rPr>
                <w:color w:val="auto"/>
                <w:sz w:val="24"/>
                <w:highlight w:val="none"/>
              </w:rPr>
              <w:t>不允许</w:t>
            </w:r>
          </w:p>
          <w:p w14:paraId="5C452D50">
            <w:pPr>
              <w:jc w:val="left"/>
              <w:rPr>
                <w:color w:val="auto"/>
                <w:sz w:val="24"/>
                <w:highlight w:val="none"/>
              </w:rPr>
            </w:pPr>
            <w:r>
              <w:rPr>
                <w:rFonts w:hint="eastAsia"/>
                <w:color w:val="auto"/>
                <w:sz w:val="24"/>
                <w:highlight w:val="none"/>
              </w:rPr>
              <w:t>□</w:t>
            </w:r>
            <w:r>
              <w:rPr>
                <w:color w:val="auto"/>
                <w:sz w:val="24"/>
                <w:highlight w:val="none"/>
              </w:rPr>
              <w:t>允许，具体要求：___</w:t>
            </w:r>
            <w:r>
              <w:rPr>
                <w:rFonts w:hint="eastAsia"/>
                <w:color w:val="auto"/>
                <w:sz w:val="24"/>
                <w:highlight w:val="none"/>
              </w:rPr>
              <w:t>/</w:t>
            </w:r>
            <w:r>
              <w:rPr>
                <w:color w:val="auto"/>
                <w:sz w:val="24"/>
                <w:highlight w:val="none"/>
              </w:rPr>
              <w:t>____。</w:t>
            </w:r>
          </w:p>
          <w:p w14:paraId="2231DE39">
            <w:pPr>
              <w:jc w:val="left"/>
              <w:rPr>
                <w:color w:val="auto"/>
                <w:sz w:val="24"/>
                <w:highlight w:val="none"/>
              </w:rPr>
            </w:pPr>
            <w:r>
              <w:rPr>
                <w:color w:val="auto"/>
                <w:sz w:val="24"/>
                <w:highlight w:val="none"/>
              </w:rPr>
              <w:t>（1）可以分包履行的具体内容：____</w:t>
            </w:r>
            <w:r>
              <w:rPr>
                <w:rFonts w:hint="eastAsia"/>
                <w:color w:val="auto"/>
                <w:sz w:val="24"/>
                <w:highlight w:val="none"/>
              </w:rPr>
              <w:t>/</w:t>
            </w:r>
            <w:r>
              <w:rPr>
                <w:color w:val="auto"/>
                <w:sz w:val="24"/>
                <w:highlight w:val="none"/>
              </w:rPr>
              <w:t>___；</w:t>
            </w:r>
          </w:p>
          <w:p w14:paraId="6D5E1E94">
            <w:pPr>
              <w:jc w:val="left"/>
              <w:rPr>
                <w:color w:val="auto"/>
                <w:sz w:val="24"/>
                <w:highlight w:val="none"/>
              </w:rPr>
            </w:pPr>
            <w:r>
              <w:rPr>
                <w:color w:val="auto"/>
                <w:sz w:val="24"/>
                <w:highlight w:val="none"/>
              </w:rPr>
              <w:t>（2）允许分包的金额或者比例：____</w:t>
            </w:r>
            <w:r>
              <w:rPr>
                <w:rFonts w:hint="eastAsia"/>
                <w:color w:val="auto"/>
                <w:sz w:val="24"/>
                <w:highlight w:val="none"/>
              </w:rPr>
              <w:t>/</w:t>
            </w:r>
            <w:r>
              <w:rPr>
                <w:color w:val="auto"/>
                <w:sz w:val="24"/>
                <w:highlight w:val="none"/>
              </w:rPr>
              <w:t>___；</w:t>
            </w:r>
          </w:p>
          <w:p w14:paraId="2AF1B17B">
            <w:pPr>
              <w:jc w:val="left"/>
              <w:rPr>
                <w:color w:val="auto"/>
                <w:sz w:val="24"/>
                <w:highlight w:val="none"/>
                <w:u w:val="single"/>
              </w:rPr>
            </w:pPr>
            <w:r>
              <w:rPr>
                <w:color w:val="auto"/>
                <w:sz w:val="24"/>
                <w:highlight w:val="none"/>
              </w:rPr>
              <w:t>（3）其他要求：____</w:t>
            </w:r>
            <w:r>
              <w:rPr>
                <w:rFonts w:hint="eastAsia"/>
                <w:color w:val="auto"/>
                <w:sz w:val="24"/>
                <w:highlight w:val="none"/>
              </w:rPr>
              <w:t>/</w:t>
            </w:r>
            <w:r>
              <w:rPr>
                <w:color w:val="auto"/>
                <w:sz w:val="24"/>
                <w:highlight w:val="none"/>
              </w:rPr>
              <w:t>___。</w:t>
            </w:r>
          </w:p>
        </w:tc>
      </w:tr>
      <w:tr w14:paraId="1843F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A0EEE9C">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24.1.1</w:t>
            </w:r>
          </w:p>
        </w:tc>
        <w:tc>
          <w:tcPr>
            <w:tcW w:w="1701" w:type="dxa"/>
            <w:noWrap w:val="0"/>
            <w:vAlign w:val="center"/>
          </w:tcPr>
          <w:p w14:paraId="096A1800">
            <w:pPr>
              <w:jc w:val="center"/>
              <w:rPr>
                <w:color w:val="auto"/>
                <w:sz w:val="24"/>
                <w:highlight w:val="none"/>
              </w:rPr>
            </w:pPr>
            <w:r>
              <w:rPr>
                <w:color w:val="auto"/>
                <w:sz w:val="24"/>
                <w:highlight w:val="none"/>
              </w:rPr>
              <w:t>询问</w:t>
            </w:r>
          </w:p>
        </w:tc>
        <w:tc>
          <w:tcPr>
            <w:tcW w:w="7253" w:type="dxa"/>
            <w:noWrap w:val="0"/>
            <w:vAlign w:val="center"/>
          </w:tcPr>
          <w:p w14:paraId="653D752F">
            <w:pPr>
              <w:jc w:val="left"/>
              <w:rPr>
                <w:rFonts w:ascii="宋体" w:hAnsi="宋体" w:cs="宋体"/>
                <w:color w:val="auto"/>
                <w:sz w:val="24"/>
                <w:highlight w:val="none"/>
              </w:rPr>
            </w:pPr>
            <w:r>
              <w:rPr>
                <w:rFonts w:hint="eastAsia" w:ascii="宋体" w:hAnsi="宋体" w:cs="宋体"/>
                <w:color w:val="auto"/>
                <w:sz w:val="24"/>
                <w:highlight w:val="none"/>
              </w:rPr>
              <w:t>询问送达形式：</w:t>
            </w:r>
            <w:r>
              <w:rPr>
                <w:rFonts w:hint="eastAsia" w:ascii="宋体" w:hAnsi="宋体" w:cs="宋体"/>
                <w:color w:val="auto"/>
                <w:sz w:val="24"/>
                <w:highlight w:val="none"/>
                <w:u w:val="single"/>
              </w:rPr>
              <w:t>书面送达</w:t>
            </w:r>
            <w:r>
              <w:rPr>
                <w:rFonts w:hint="eastAsia" w:ascii="宋体" w:hAnsi="宋体" w:cs="宋体"/>
                <w:color w:val="auto"/>
                <w:sz w:val="24"/>
                <w:highlight w:val="none"/>
              </w:rPr>
              <w:t>。</w:t>
            </w:r>
          </w:p>
          <w:p w14:paraId="542F8E76">
            <w:pPr>
              <w:pStyle w:val="443"/>
              <w:rPr>
                <w:color w:val="auto"/>
                <w:highlight w:val="none"/>
              </w:rPr>
            </w:pPr>
            <w:r>
              <w:rPr>
                <w:color w:val="auto"/>
                <w:highlight w:val="none"/>
              </w:rPr>
              <w:t>对采购文件需要进行澄清或有疑问的供应商，均应在</w:t>
            </w:r>
            <w:r>
              <w:rPr>
                <w:rFonts w:hint="eastAsia"/>
                <w:color w:val="auto"/>
                <w:highlight w:val="none"/>
                <w:lang w:val="en-US" w:eastAsia="zh-CN"/>
              </w:rPr>
              <w:t>5</w:t>
            </w:r>
            <w:r>
              <w:rPr>
                <w:color w:val="auto"/>
                <w:highlight w:val="none"/>
              </w:rPr>
              <w:t>年</w:t>
            </w:r>
            <w:r>
              <w:rPr>
                <w:rFonts w:hint="eastAsia"/>
                <w:color w:val="auto"/>
                <w:highlight w:val="none"/>
                <w:lang w:val="en-US" w:eastAsia="zh-CN"/>
              </w:rPr>
              <w:t>9</w:t>
            </w:r>
            <w:r>
              <w:rPr>
                <w:color w:val="auto"/>
                <w:highlight w:val="none"/>
              </w:rPr>
              <w:t>月</w:t>
            </w:r>
            <w:r>
              <w:rPr>
                <w:rFonts w:hint="eastAsia"/>
                <w:color w:val="auto"/>
                <w:highlight w:val="none"/>
                <w:lang w:val="en-US" w:eastAsia="zh-CN"/>
              </w:rPr>
              <w:t>26</w:t>
            </w:r>
            <w:r>
              <w:rPr>
                <w:color w:val="auto"/>
                <w:highlight w:val="none"/>
              </w:rPr>
              <w:t>日前，一次性将需要澄清或疑问内容以书</w:t>
            </w:r>
            <w:bookmarkStart w:id="615" w:name="_GoBack"/>
            <w:bookmarkEnd w:id="615"/>
            <w:r>
              <w:rPr>
                <w:color w:val="auto"/>
                <w:highlight w:val="none"/>
              </w:rPr>
              <w:t>面形式并加盖公章送达采购代理机构，否则视为无有效澄清或疑问。</w:t>
            </w:r>
          </w:p>
        </w:tc>
      </w:tr>
      <w:tr w14:paraId="20B8E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E53F0DE">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24.3</w:t>
            </w:r>
          </w:p>
        </w:tc>
        <w:tc>
          <w:tcPr>
            <w:tcW w:w="1701" w:type="dxa"/>
            <w:noWrap w:val="0"/>
            <w:vAlign w:val="center"/>
          </w:tcPr>
          <w:p w14:paraId="1C4DF79D">
            <w:pPr>
              <w:jc w:val="center"/>
              <w:rPr>
                <w:color w:val="auto"/>
                <w:sz w:val="24"/>
                <w:highlight w:val="none"/>
              </w:rPr>
            </w:pPr>
            <w:r>
              <w:rPr>
                <w:color w:val="auto"/>
                <w:sz w:val="24"/>
                <w:highlight w:val="none"/>
              </w:rPr>
              <w:t>联系方式</w:t>
            </w:r>
          </w:p>
        </w:tc>
        <w:tc>
          <w:tcPr>
            <w:tcW w:w="7253" w:type="dxa"/>
            <w:noWrap w:val="0"/>
            <w:vAlign w:val="center"/>
          </w:tcPr>
          <w:p w14:paraId="7B370055">
            <w:pPr>
              <w:jc w:val="left"/>
              <w:rPr>
                <w:color w:val="auto"/>
                <w:sz w:val="24"/>
                <w:highlight w:val="none"/>
              </w:rPr>
            </w:pPr>
            <w:r>
              <w:rPr>
                <w:color w:val="auto"/>
                <w:sz w:val="24"/>
                <w:highlight w:val="none"/>
              </w:rPr>
              <w:t>接收询问和质疑的联系方式</w:t>
            </w:r>
          </w:p>
          <w:p w14:paraId="73D561CE">
            <w:pPr>
              <w:jc w:val="left"/>
              <w:rPr>
                <w:rFonts w:ascii="宋体" w:hAnsi="宋体" w:cs="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常州中宇建设工程管理有限公司</w:t>
            </w:r>
            <w:r>
              <w:rPr>
                <w:rFonts w:hint="eastAsia" w:ascii="宋体" w:hAnsi="宋体" w:cs="宋体"/>
                <w:color w:val="auto"/>
                <w:sz w:val="24"/>
                <w:highlight w:val="none"/>
              </w:rPr>
              <w:t>；</w:t>
            </w:r>
          </w:p>
          <w:p w14:paraId="7E910762">
            <w:pPr>
              <w:jc w:val="left"/>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0519-8578</w:t>
            </w:r>
            <w:r>
              <w:rPr>
                <w:rFonts w:hint="eastAsia" w:ascii="宋体" w:hAnsi="宋体" w:cs="宋体"/>
                <w:color w:val="auto"/>
                <w:sz w:val="24"/>
                <w:highlight w:val="none"/>
                <w:u w:val="single"/>
                <w:lang w:val="en-US" w:eastAsia="zh-CN"/>
              </w:rPr>
              <w:t>5155</w:t>
            </w:r>
            <w:r>
              <w:rPr>
                <w:rFonts w:hint="eastAsia" w:ascii="宋体" w:hAnsi="宋体" w:cs="宋体"/>
                <w:color w:val="auto"/>
                <w:sz w:val="24"/>
                <w:highlight w:val="none"/>
              </w:rPr>
              <w:t>；</w:t>
            </w:r>
          </w:p>
          <w:p w14:paraId="53286969">
            <w:pPr>
              <w:jc w:val="left"/>
              <w:rPr>
                <w:color w:val="auto"/>
                <w:sz w:val="24"/>
                <w:highlight w:val="none"/>
              </w:rPr>
            </w:pPr>
            <w:r>
              <w:rPr>
                <w:rFonts w:hint="eastAsia" w:ascii="宋体" w:hAnsi="宋体" w:cs="宋体"/>
                <w:color w:val="auto"/>
                <w:sz w:val="24"/>
                <w:highlight w:val="none"/>
              </w:rPr>
              <w:t>通讯地址：</w:t>
            </w:r>
            <w:r>
              <w:rPr>
                <w:rFonts w:hint="eastAsia" w:ascii="宋体" w:hAnsi="宋体" w:eastAsia="宋体" w:cs="宋体"/>
                <w:b w:val="0"/>
                <w:bCs w:val="0"/>
                <w:i w:val="0"/>
                <w:iCs w:val="0"/>
                <w:color w:val="auto"/>
                <w:spacing w:val="0"/>
                <w:w w:val="100"/>
                <w:sz w:val="24"/>
                <w:szCs w:val="24"/>
                <w:highlight w:val="none"/>
                <w:u w:val="single"/>
                <w:vertAlign w:val="baseline"/>
              </w:rPr>
              <w:t>常州市新北区汉江路338号-南门1栋5楼</w:t>
            </w:r>
            <w:r>
              <w:rPr>
                <w:rFonts w:hint="eastAsia" w:ascii="宋体" w:hAnsi="宋体" w:cs="宋体"/>
                <w:color w:val="auto"/>
                <w:sz w:val="24"/>
                <w:highlight w:val="none"/>
              </w:rPr>
              <w:t>。</w:t>
            </w:r>
          </w:p>
        </w:tc>
      </w:tr>
      <w:tr w14:paraId="3911E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E82826C">
            <w:pPr>
              <w:pStyle w:val="276"/>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25</w:t>
            </w:r>
          </w:p>
        </w:tc>
        <w:tc>
          <w:tcPr>
            <w:tcW w:w="1701" w:type="dxa"/>
            <w:noWrap w:val="0"/>
            <w:vAlign w:val="center"/>
          </w:tcPr>
          <w:p w14:paraId="7DDD83B8">
            <w:pPr>
              <w:jc w:val="center"/>
              <w:rPr>
                <w:color w:val="auto"/>
                <w:sz w:val="24"/>
                <w:highlight w:val="none"/>
              </w:rPr>
            </w:pPr>
            <w:r>
              <w:rPr>
                <w:color w:val="auto"/>
                <w:sz w:val="24"/>
                <w:highlight w:val="none"/>
              </w:rPr>
              <w:t>代理费</w:t>
            </w:r>
          </w:p>
        </w:tc>
        <w:tc>
          <w:tcPr>
            <w:tcW w:w="7253" w:type="dxa"/>
            <w:noWrap w:val="0"/>
            <w:vAlign w:val="center"/>
          </w:tcPr>
          <w:p w14:paraId="50ADDCE5">
            <w:pPr>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收费对象：</w:t>
            </w:r>
          </w:p>
          <w:p w14:paraId="4669AF56">
            <w:pPr>
              <w:rPr>
                <w:rFonts w:ascii="宋体" w:hAnsi="宋体" w:cs="宋体"/>
                <w:color w:val="auto"/>
                <w:sz w:val="24"/>
                <w:highlight w:val="none"/>
              </w:rPr>
            </w:pPr>
            <w:r>
              <w:rPr>
                <w:rFonts w:hint="eastAsia" w:ascii="宋体" w:hAnsi="宋体" w:cs="宋体"/>
                <w:color w:val="auto"/>
                <w:sz w:val="24"/>
                <w:highlight w:val="none"/>
              </w:rPr>
              <w:t>□采购人</w:t>
            </w:r>
          </w:p>
          <w:p w14:paraId="5AF27A2D">
            <w:pPr>
              <w:rPr>
                <w:rFonts w:hint="eastAsia"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成交供应商</w:t>
            </w:r>
          </w:p>
          <w:p w14:paraId="05454818">
            <w:pPr>
              <w:ind w:firstLine="480"/>
              <w:jc w:val="left"/>
              <w:rPr>
                <w:color w:val="auto"/>
                <w:sz w:val="24"/>
                <w:highlight w:val="none"/>
              </w:rPr>
            </w:pPr>
            <w:r>
              <w:rPr>
                <w:color w:val="auto"/>
                <w:sz w:val="24"/>
                <w:highlight w:val="none"/>
              </w:rPr>
              <w:t>收费标准：</w:t>
            </w:r>
            <w:r>
              <w:rPr>
                <w:rFonts w:hint="eastAsia"/>
                <w:color w:val="auto"/>
                <w:sz w:val="24"/>
                <w:highlight w:val="none"/>
              </w:rPr>
              <w:t>中标单位须按</w:t>
            </w:r>
            <w:r>
              <w:rPr>
                <w:rFonts w:hint="eastAsia"/>
                <w:color w:val="auto"/>
                <w:sz w:val="24"/>
                <w:highlight w:val="none"/>
                <w:lang w:val="en-US" w:eastAsia="zh-CN"/>
              </w:rPr>
              <w:t>采购</w:t>
            </w:r>
            <w:r>
              <w:rPr>
                <w:rFonts w:hint="eastAsia"/>
                <w:color w:val="auto"/>
                <w:sz w:val="24"/>
                <w:highlight w:val="none"/>
              </w:rPr>
              <w:t>预算总金额对应下表相对应分档计算及支付中标服务费。中标服务费收费最</w:t>
            </w:r>
            <w:r>
              <w:rPr>
                <w:color w:val="auto"/>
                <w:sz w:val="24"/>
                <w:highlight w:val="none"/>
              </w:rPr>
              <w:t>低为人民币</w:t>
            </w:r>
            <w:r>
              <w:rPr>
                <w:rFonts w:hint="eastAsia"/>
                <w:color w:val="auto"/>
                <w:sz w:val="24"/>
                <w:highlight w:val="none"/>
              </w:rPr>
              <w:t>3000元</w:t>
            </w:r>
            <w:r>
              <w:rPr>
                <w:color w:val="auto"/>
                <w:sz w:val="24"/>
                <w:highlight w:val="none"/>
              </w:rPr>
              <w:t>，</w:t>
            </w:r>
            <w:r>
              <w:rPr>
                <w:rFonts w:hint="eastAsia"/>
                <w:color w:val="auto"/>
                <w:sz w:val="24"/>
                <w:highlight w:val="none"/>
              </w:rPr>
              <w:t>若按上述计算方式不足人民币3000元的，则按人民币3000元收取。</w:t>
            </w:r>
          </w:p>
          <w:tbl>
            <w:tblPr>
              <w:tblStyle w:val="38"/>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23"/>
              <w:gridCol w:w="2823"/>
            </w:tblGrid>
            <w:tr w14:paraId="2DC03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4DEB66B5">
                  <w:pPr>
                    <w:ind w:firstLine="1920"/>
                    <w:jc w:val="left"/>
                    <w:rPr>
                      <w:color w:val="auto"/>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19050</wp:posOffset>
                            </wp:positionV>
                            <wp:extent cx="1562735" cy="714375"/>
                            <wp:effectExtent l="1905" t="4445" r="16510" b="5080"/>
                            <wp:wrapNone/>
                            <wp:docPr id="1" name="直接连接符 1"/>
                            <wp:cNvGraphicFramePr/>
                            <a:graphic xmlns:a="http://schemas.openxmlformats.org/drawingml/2006/main">
                              <a:graphicData uri="http://schemas.microsoft.com/office/word/2010/wordprocessingShape">
                                <wps:wsp>
                                  <wps:cNvCnPr/>
                                  <wps:spPr bwMode="auto">
                                    <a:xfrm flipH="1" flipV="1">
                                      <a:off x="0" y="0"/>
                                      <a:ext cx="1562735" cy="714375"/>
                                    </a:xfrm>
                                    <a:prstGeom prst="line">
                                      <a:avLst/>
                                    </a:prstGeom>
                                    <a:noFill/>
                                    <a:ln>
                                      <a:solidFill>
                                        <a:srgbClr val="000000"/>
                                      </a:solidFill>
                                    </a:ln>
                                    <a:effectLst/>
                                  </wps:spPr>
                                  <wps:bodyPr/>
                                </wps:wsp>
                              </a:graphicData>
                            </a:graphic>
                          </wp:anchor>
                        </w:drawing>
                      </mc:Choice>
                      <mc:Fallback>
                        <w:pict>
                          <v:line id="_x0000_s1026" o:spid="_x0000_s1026" o:spt="20" style="position:absolute;left:0pt;flip:x y;margin-left:27.6pt;margin-top:1.5pt;height:56.25pt;width:123.05pt;z-index:251660288;mso-width-relative:page;mso-height-relative:page;" filled="f" stroked="t" coordsize="21600,21600" o:gfxdata="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C7F9HTAAAACAEAAA8AAAAAAAAAAQAgAAAAIgAA&#10;AGRycy9kb3ducmV2LnhtbFBLAQIUABQAAAAIAIdO4kA5sbeQ1AEAAIwDAAAOAAAAAAAAAAEAIAAA&#10;ACIBAABkcnMvZTJvRG9jLnhtbFBLBQYAAAAABgAGAFkBAABoBQAAAAA=&#10;">
                            <v:fill on="f" focussize="0,0"/>
                            <v:stroke color="#000000" joinstyle="round"/>
                            <v:imagedata o:title=""/>
                            <o:lock v:ext="edit" aspectratio="f"/>
                          </v:line>
                        </w:pict>
                      </mc:Fallback>
                    </mc:AlternateContent>
                  </w:r>
                  <w:r>
                    <w:rPr>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-5715</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a:effectLst/>
                                  </wps:spPr>
                                  <wps:bodyPr/>
                                </wps:wsp>
                              </a:graphicData>
                            </a:graphic>
                          </wp:anchor>
                        </w:drawing>
                      </mc:Choice>
                      <mc:Fallback>
                        <w:pict>
                          <v:line id="_x0000_s1026" o:spid="_x0000_s1026" o:spt="20" style="position:absolute;left:0pt;margin-left:-8.95pt;margin-top:-0.45pt;height:0pt;width:0.05pt;z-index:251659264;mso-width-relative:page;mso-height-relative:page;" filled="f" stroked="t" coordsize="21600,21600" o:gfxdata="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pa1zNMAAAAHAQAADwAAAAAAAAABACAAAAAiAAAAZHJzL2Rvd25yZXYueG1sUEsBAhQA&#10;FAAAAAgAh07iQBQXobm+AQAAbwMAAA4AAAAAAAAAAQAgAAAAIgEAAGRycy9lMm9Eb2MueG1sUEsF&#10;BgAAAAAGAAYAWQEAAFIFAAAAAA==&#10;">
                            <v:fill on="f" focussize="0,0"/>
                            <v:stroke color="#000000" joinstyle="round"/>
                            <v:imagedata o:title=""/>
                            <o:lock v:ext="edit" aspectratio="f"/>
                          </v:line>
                        </w:pict>
                      </mc:Fallback>
                    </mc:AlternateContent>
                  </w:r>
                  <w:r>
                    <w:rPr>
                      <w:rFonts w:hint="eastAsia"/>
                      <w:color w:val="auto"/>
                      <w:sz w:val="24"/>
                      <w:highlight w:val="none"/>
                    </w:rPr>
                    <w:t>服务类型</w:t>
                  </w:r>
                </w:p>
                <w:p w14:paraId="5AD00B1D">
                  <w:pPr>
                    <w:jc w:val="left"/>
                    <w:rPr>
                      <w:color w:val="auto"/>
                      <w:sz w:val="24"/>
                      <w:highlight w:val="none"/>
                    </w:rPr>
                  </w:pPr>
                  <w:r>
                    <w:rPr>
                      <w:rFonts w:hint="eastAsia"/>
                      <w:color w:val="auto"/>
                      <w:sz w:val="24"/>
                      <w:highlight w:val="none"/>
                    </w:rPr>
                    <w:t xml:space="preserve">　 费率　      </w:t>
                  </w:r>
                </w:p>
                <w:p w14:paraId="7A473DCF">
                  <w:pPr>
                    <w:ind w:firstLine="480"/>
                    <w:jc w:val="left"/>
                    <w:rPr>
                      <w:color w:val="auto"/>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38735</wp:posOffset>
                            </wp:positionV>
                            <wp:extent cx="1937385" cy="305435"/>
                            <wp:effectExtent l="635" t="4445" r="5080" b="13970"/>
                            <wp:wrapNone/>
                            <wp:docPr id="7" name="直接连接符 7"/>
                            <wp:cNvGraphicFramePr/>
                            <a:graphic xmlns:a="http://schemas.openxmlformats.org/drawingml/2006/main">
                              <a:graphicData uri="http://schemas.microsoft.com/office/word/2010/wordprocessingShape">
                                <wps:wsp>
                                  <wps:cNvCnPr/>
                                  <wps:spPr bwMode="auto">
                                    <a:xfrm flipH="1" flipV="1">
                                      <a:off x="0" y="0"/>
                                      <a:ext cx="1937384" cy="305435"/>
                                    </a:xfrm>
                                    <a:prstGeom prst="line">
                                      <a:avLst/>
                                    </a:prstGeom>
                                    <a:noFill/>
                                    <a:ln>
                                      <a:solidFill>
                                        <a:srgbClr val="000000"/>
                                      </a:solidFill>
                                    </a:ln>
                                    <a:effectLst/>
                                  </wps:spPr>
                                  <wps:bodyPr/>
                                </wps:wsp>
                              </a:graphicData>
                            </a:graphic>
                          </wp:anchor>
                        </w:drawing>
                      </mc:Choice>
                      <mc:Fallback>
                        <w:pict>
                          <v:line id="_x0000_s1026" o:spid="_x0000_s1026" o:spt="20" style="position:absolute;left:0pt;flip:x y;margin-left:-5.1pt;margin-top:3.05pt;height:24.05pt;width:152.55pt;z-index:251660288;mso-width-relative:page;mso-height-relative:page;" filled="f" stroked="t" coordsize="21600,21600" o:gfxdata="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Q+N1fUAAAACAEAAA8AAAAAAAAAAQAgAAAA&#10;IgAAAGRycy9kb3ducmV2LnhtbFBLAQIUABQAAAAIAIdO4kC5Bay11gEAAIwDAAAOAAAAAAAAAAEA&#10;IAAAACMBAABkcnMvZTJvRG9jLnhtbFBLBQYAAAAABgAGAFkBAABrBQAAAAA=&#10;">
                            <v:fill on="f" focussize="0,0"/>
                            <v:stroke color="#000000" joinstyle="round"/>
                            <v:imagedata o:title=""/>
                            <o:lock v:ext="edit" aspectratio="f"/>
                          </v:line>
                        </w:pict>
                      </mc:Fallback>
                    </mc:AlternateContent>
                  </w:r>
                  <w:r>
                    <w:rPr>
                      <w:rFonts w:hint="eastAsia"/>
                      <w:color w:val="auto"/>
                      <w:sz w:val="24"/>
                      <w:highlight w:val="none"/>
                    </w:rPr>
                    <w:t>　  　　　　</w:t>
                  </w:r>
                </w:p>
                <w:p w14:paraId="1A1B2C15">
                  <w:pPr>
                    <w:jc w:val="left"/>
                    <w:rPr>
                      <w:color w:val="auto"/>
                      <w:sz w:val="24"/>
                      <w:highlight w:val="none"/>
                    </w:rPr>
                  </w:pPr>
                  <w:r>
                    <w:rPr>
                      <w:rFonts w:hint="eastAsia"/>
                      <w:color w:val="auto"/>
                      <w:sz w:val="24"/>
                      <w:highlight w:val="none"/>
                    </w:rPr>
                    <w:t>中标金额（万元）</w:t>
                  </w:r>
                </w:p>
              </w:tc>
              <w:tc>
                <w:tcPr>
                  <w:tcW w:w="2823" w:type="dxa"/>
                  <w:vAlign w:val="center"/>
                </w:tcPr>
                <w:p w14:paraId="1F76DB1A">
                  <w:pPr>
                    <w:jc w:val="center"/>
                    <w:rPr>
                      <w:color w:val="auto"/>
                      <w:sz w:val="24"/>
                      <w:highlight w:val="none"/>
                    </w:rPr>
                  </w:pPr>
                  <w:r>
                    <w:rPr>
                      <w:rFonts w:hint="eastAsia"/>
                      <w:color w:val="auto"/>
                      <w:sz w:val="24"/>
                      <w:highlight w:val="none"/>
                    </w:rPr>
                    <w:t>服务招标</w:t>
                  </w:r>
                </w:p>
              </w:tc>
            </w:tr>
            <w:tr w14:paraId="6B39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23" w:type="dxa"/>
                  <w:vAlign w:val="center"/>
                </w:tcPr>
                <w:p w14:paraId="419CE554">
                  <w:pPr>
                    <w:ind w:firstLine="480"/>
                    <w:jc w:val="left"/>
                    <w:rPr>
                      <w:color w:val="auto"/>
                      <w:sz w:val="24"/>
                      <w:highlight w:val="none"/>
                    </w:rPr>
                  </w:pPr>
                  <w:r>
                    <w:rPr>
                      <w:rFonts w:hint="eastAsia"/>
                      <w:color w:val="auto"/>
                      <w:sz w:val="24"/>
                      <w:highlight w:val="none"/>
                    </w:rPr>
                    <w:t>100以下</w:t>
                  </w:r>
                </w:p>
              </w:tc>
              <w:tc>
                <w:tcPr>
                  <w:tcW w:w="2823" w:type="dxa"/>
                  <w:vAlign w:val="center"/>
                </w:tcPr>
                <w:p w14:paraId="3B168D59">
                  <w:pPr>
                    <w:jc w:val="center"/>
                    <w:rPr>
                      <w:color w:val="auto"/>
                      <w:sz w:val="24"/>
                      <w:highlight w:val="none"/>
                    </w:rPr>
                  </w:pPr>
                  <w:r>
                    <w:rPr>
                      <w:rFonts w:hint="eastAsia"/>
                      <w:color w:val="auto"/>
                      <w:sz w:val="24"/>
                      <w:highlight w:val="none"/>
                    </w:rPr>
                    <w:t>1.5%</w:t>
                  </w:r>
                </w:p>
              </w:tc>
            </w:tr>
          </w:tbl>
          <w:p w14:paraId="508D3629">
            <w:pPr>
              <w:ind w:firstLine="480"/>
              <w:jc w:val="left"/>
              <w:rPr>
                <w:color w:val="auto"/>
                <w:sz w:val="24"/>
                <w:highlight w:val="none"/>
              </w:rPr>
            </w:pPr>
            <w:r>
              <w:rPr>
                <w:color w:val="auto"/>
                <w:sz w:val="24"/>
                <w:highlight w:val="none"/>
              </w:rPr>
              <w:t>缴纳时间：</w:t>
            </w:r>
            <w:r>
              <w:rPr>
                <w:rFonts w:hint="eastAsia"/>
                <w:color w:val="auto"/>
                <w:sz w:val="24"/>
                <w:highlight w:val="none"/>
              </w:rPr>
              <w:t>中标单位</w:t>
            </w:r>
            <w:r>
              <w:rPr>
                <w:rFonts w:hint="eastAsia" w:ascii="宋体" w:hAnsi="宋体" w:cs="宋体"/>
                <w:color w:val="auto"/>
                <w:sz w:val="24"/>
                <w:highlight w:val="none"/>
                <w:u w:val="single"/>
              </w:rPr>
              <w:t>在中标（成交）通知书发出之日起五个</w:t>
            </w:r>
            <w:r>
              <w:rPr>
                <w:rFonts w:hint="eastAsia"/>
                <w:color w:val="auto"/>
                <w:sz w:val="24"/>
                <w:highlight w:val="none"/>
                <w:u w:val="single"/>
              </w:rPr>
              <w:t>工作日内向采购代理机构缴纳。</w:t>
            </w:r>
          </w:p>
          <w:p w14:paraId="5463B11D">
            <w:pPr>
              <w:ind w:firstLine="480"/>
              <w:jc w:val="left"/>
              <w:rPr>
                <w:color w:val="auto"/>
                <w:sz w:val="24"/>
                <w:highlight w:val="none"/>
              </w:rPr>
            </w:pPr>
            <w:r>
              <w:rPr>
                <w:rFonts w:hint="eastAsia"/>
                <w:color w:val="auto"/>
                <w:sz w:val="24"/>
                <w:highlight w:val="none"/>
              </w:rPr>
              <w:t>预算总金额为</w:t>
            </w:r>
            <w:r>
              <w:rPr>
                <w:rFonts w:hint="eastAsia"/>
                <w:color w:val="auto"/>
                <w:sz w:val="24"/>
                <w:highlight w:val="none"/>
                <w:lang w:val="en-US" w:eastAsia="zh-CN"/>
              </w:rPr>
              <w:t>99</w:t>
            </w:r>
            <w:r>
              <w:rPr>
                <w:rFonts w:hint="eastAsia"/>
                <w:color w:val="auto"/>
                <w:sz w:val="24"/>
                <w:highlight w:val="none"/>
              </w:rPr>
              <w:t>万，计算公式为：</w:t>
            </w:r>
          </w:p>
          <w:p w14:paraId="0F8E86CC">
            <w:pPr>
              <w:ind w:firstLine="480"/>
              <w:jc w:val="left"/>
              <w:rPr>
                <w:color w:val="auto"/>
                <w:sz w:val="24"/>
                <w:highlight w:val="none"/>
              </w:rPr>
            </w:pPr>
            <w:r>
              <w:rPr>
                <w:rFonts w:hint="eastAsia"/>
                <w:color w:val="auto"/>
                <w:sz w:val="24"/>
                <w:highlight w:val="none"/>
                <w:lang w:val="en-US" w:eastAsia="zh-CN"/>
              </w:rPr>
              <w:t>99</w:t>
            </w:r>
            <w:r>
              <w:rPr>
                <w:rFonts w:hint="eastAsia"/>
                <w:color w:val="auto"/>
                <w:sz w:val="24"/>
                <w:highlight w:val="none"/>
              </w:rPr>
              <w:t>万*1.5%=1.</w:t>
            </w:r>
            <w:r>
              <w:rPr>
                <w:rFonts w:hint="eastAsia"/>
                <w:color w:val="auto"/>
                <w:sz w:val="24"/>
                <w:highlight w:val="none"/>
                <w:lang w:val="en-US" w:eastAsia="zh-CN"/>
              </w:rPr>
              <w:t>48</w:t>
            </w:r>
            <w:r>
              <w:rPr>
                <w:rFonts w:hint="eastAsia"/>
                <w:color w:val="auto"/>
                <w:sz w:val="24"/>
                <w:highlight w:val="none"/>
              </w:rPr>
              <w:t>5万元</w:t>
            </w:r>
          </w:p>
          <w:p w14:paraId="2214FC91">
            <w:pPr>
              <w:jc w:val="left"/>
              <w:rPr>
                <w:rFonts w:hint="eastAsia" w:ascii="宋体" w:hAnsi="宋体" w:cs="宋体"/>
                <w:color w:val="auto"/>
                <w:sz w:val="24"/>
                <w:highlight w:val="none"/>
              </w:rPr>
            </w:pPr>
            <w:r>
              <w:rPr>
                <w:rFonts w:hint="eastAsia" w:ascii="宋体" w:hAnsi="宋体" w:cs="宋体"/>
                <w:color w:val="auto"/>
                <w:sz w:val="24"/>
                <w:highlight w:val="none"/>
              </w:rPr>
              <w:t>缴纳时间：成交供应商在中标（成交）通知书发出之日起五个工作日内向采购代理机构缴纳。</w:t>
            </w:r>
          </w:p>
          <w:p w14:paraId="25F5E33F">
            <w:pPr>
              <w:jc w:val="left"/>
              <w:rPr>
                <w:rFonts w:hint="eastAsia" w:ascii="宋体" w:hAnsi="宋体" w:cs="宋体"/>
                <w:color w:val="auto"/>
                <w:sz w:val="24"/>
                <w:highlight w:val="none"/>
              </w:rPr>
            </w:pPr>
            <w:r>
              <w:rPr>
                <w:rFonts w:hint="eastAsia" w:ascii="宋体" w:hAnsi="宋体" w:cs="宋体"/>
                <w:color w:val="auto"/>
                <w:sz w:val="24"/>
                <w:highlight w:val="none"/>
              </w:rPr>
              <w:t>收款户名：常州中宇建设工程管理有限公司</w:t>
            </w:r>
          </w:p>
          <w:p w14:paraId="42F1DDEA">
            <w:pPr>
              <w:jc w:val="left"/>
              <w:rPr>
                <w:rFonts w:ascii="宋体" w:hAnsi="宋体" w:cs="宋体"/>
                <w:color w:val="auto"/>
                <w:sz w:val="24"/>
                <w:highlight w:val="none"/>
              </w:rPr>
            </w:pPr>
            <w:r>
              <w:rPr>
                <w:rFonts w:hint="eastAsia" w:ascii="宋体" w:hAnsi="宋体" w:cs="宋体"/>
                <w:color w:val="auto"/>
                <w:sz w:val="24"/>
                <w:highlight w:val="none"/>
              </w:rPr>
              <w:t xml:space="preserve">开户银行：中国工商银行股份有限公司常州勤德支行 </w:t>
            </w:r>
          </w:p>
          <w:p w14:paraId="2B40B9DC">
            <w:pPr>
              <w:jc w:val="left"/>
              <w:rPr>
                <w:color w:val="auto"/>
                <w:sz w:val="24"/>
                <w:highlight w:val="none"/>
              </w:rPr>
            </w:pPr>
            <w:r>
              <w:rPr>
                <w:rFonts w:hint="eastAsia" w:ascii="宋体" w:hAnsi="宋体" w:cs="宋体"/>
                <w:color w:val="auto"/>
                <w:sz w:val="24"/>
                <w:highlight w:val="none"/>
              </w:rPr>
              <w:t>账    号：1105052609000510202</w:t>
            </w:r>
          </w:p>
        </w:tc>
      </w:tr>
      <w:tr w14:paraId="4ED48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073DD23">
            <w:pPr>
              <w:pStyle w:val="276"/>
              <w:jc w:val="center"/>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26</w:t>
            </w:r>
          </w:p>
        </w:tc>
        <w:tc>
          <w:tcPr>
            <w:tcW w:w="1701" w:type="dxa"/>
            <w:noWrap w:val="0"/>
            <w:vAlign w:val="center"/>
          </w:tcPr>
          <w:p w14:paraId="371E79DA">
            <w:pPr>
              <w:jc w:val="center"/>
              <w:rPr>
                <w:color w:val="auto"/>
                <w:sz w:val="24"/>
                <w:highlight w:val="none"/>
              </w:rPr>
            </w:pPr>
            <w:r>
              <w:rPr>
                <w:color w:val="auto"/>
                <w:sz w:val="24"/>
                <w:highlight w:val="none"/>
              </w:rPr>
              <w:t>纸质中标</w:t>
            </w:r>
            <w:r>
              <w:rPr>
                <w:rFonts w:hint="eastAsia"/>
                <w:color w:val="auto"/>
                <w:sz w:val="24"/>
                <w:highlight w:val="none"/>
              </w:rPr>
              <w:t>（成交）</w:t>
            </w:r>
            <w:r>
              <w:rPr>
                <w:color w:val="auto"/>
                <w:sz w:val="24"/>
                <w:highlight w:val="none"/>
              </w:rPr>
              <w:t>文件</w:t>
            </w:r>
          </w:p>
        </w:tc>
        <w:tc>
          <w:tcPr>
            <w:tcW w:w="7253" w:type="dxa"/>
            <w:noWrap w:val="0"/>
            <w:vAlign w:val="center"/>
          </w:tcPr>
          <w:p w14:paraId="5F7481A1">
            <w:pPr>
              <w:jc w:val="left"/>
              <w:rPr>
                <w:rFonts w:hint="eastAsia" w:ascii="宋体" w:hAnsi="宋体" w:cs="宋体"/>
                <w:color w:val="auto"/>
                <w:sz w:val="24"/>
                <w:highlight w:val="none"/>
              </w:rPr>
            </w:pPr>
            <w:r>
              <w:rPr>
                <w:rFonts w:hint="eastAsia"/>
                <w:b/>
                <w:bCs/>
                <w:color w:val="auto"/>
                <w:sz w:val="24"/>
                <w:highlight w:val="none"/>
              </w:rPr>
              <w:t>成交供应商在签订合同前需递交与电子响应文件内容一致的纸质响应文件两份（需打印清晰，标注目录及页码），作为项目归档使用。（递交方式可采用邮寄或现场送达,采购人和采购代理机构各一份，联系方式见《第一章 投标邀请》）</w:t>
            </w:r>
          </w:p>
        </w:tc>
      </w:tr>
    </w:tbl>
    <w:p w14:paraId="321B85DC">
      <w:pPr>
        <w:tabs>
          <w:tab w:val="left" w:pos="5580"/>
        </w:tabs>
        <w:spacing w:line="360" w:lineRule="auto"/>
        <w:rPr>
          <w:color w:val="auto"/>
          <w:sz w:val="24"/>
          <w:highlight w:val="none"/>
        </w:rPr>
        <w:sectPr>
          <w:footerReference r:id="rId9" w:type="first"/>
          <w:footerReference r:id="rId8" w:type="default"/>
          <w:pgSz w:w="11907" w:h="16840"/>
          <w:pgMar w:top="1418" w:right="1134" w:bottom="1418" w:left="1701" w:header="851" w:footer="851" w:gutter="0"/>
          <w:pgNumType w:start="1"/>
          <w:cols w:space="1701" w:num="1"/>
          <w:titlePg/>
          <w:docGrid w:linePitch="360" w:charSpace="0"/>
        </w:sectPr>
      </w:pPr>
    </w:p>
    <w:p w14:paraId="4D242DFE">
      <w:pPr>
        <w:spacing w:before="240" w:after="240"/>
        <w:jc w:val="center"/>
        <w:rPr>
          <w:b/>
          <w:color w:val="auto"/>
          <w:sz w:val="28"/>
          <w:szCs w:val="28"/>
          <w:highlight w:val="none"/>
        </w:rPr>
      </w:pPr>
      <w:r>
        <w:rPr>
          <w:b/>
          <w:color w:val="auto"/>
          <w:sz w:val="28"/>
          <w:szCs w:val="28"/>
          <w:highlight w:val="none"/>
        </w:rPr>
        <w:t>供应商须知</w:t>
      </w:r>
    </w:p>
    <w:p w14:paraId="00CD91FF">
      <w:pPr>
        <w:pStyle w:val="239"/>
        <w:tabs>
          <w:tab w:val="center" w:pos="4592"/>
          <w:tab w:val="left" w:pos="7860"/>
        </w:tabs>
        <w:spacing w:before="0" w:line="360" w:lineRule="auto"/>
        <w:jc w:val="left"/>
        <w:rPr>
          <w:rFonts w:ascii="Times New Roman" w:hAnsi="Times New Roman" w:eastAsia="宋体"/>
          <w:color w:val="auto"/>
          <w:sz w:val="28"/>
          <w:highlight w:val="none"/>
        </w:rPr>
      </w:pPr>
      <w:bookmarkStart w:id="33" w:name="_Toc264969208"/>
      <w:bookmarkStart w:id="34" w:name="_Toc226337214"/>
      <w:bookmarkStart w:id="35" w:name="_Toc150774618"/>
      <w:bookmarkStart w:id="36" w:name="_Toc226965791"/>
      <w:bookmarkStart w:id="37" w:name="_Toc151193906"/>
      <w:bookmarkStart w:id="38" w:name="_Toc151193688"/>
      <w:bookmarkStart w:id="39" w:name="_Toc226309762"/>
      <w:bookmarkStart w:id="40" w:name="_Toc150774723"/>
      <w:bookmarkStart w:id="41" w:name="_Toc305158786"/>
      <w:bookmarkStart w:id="42" w:name="_Toc195842883"/>
      <w:bookmarkStart w:id="43" w:name="_Toc151193832"/>
      <w:bookmarkStart w:id="44" w:name="_Toc142311020"/>
      <w:bookmarkStart w:id="45" w:name="_Toc305158860"/>
      <w:bookmarkStart w:id="46" w:name="_Toc151190145"/>
      <w:bookmarkStart w:id="47" w:name="_Toc520356143"/>
      <w:bookmarkStart w:id="48" w:name="_Toc150480756"/>
      <w:bookmarkStart w:id="49" w:name="_Toc226965708"/>
      <w:bookmarkStart w:id="50" w:name="_Toc127151518"/>
      <w:bookmarkStart w:id="51" w:name="_Toc265228356"/>
      <w:bookmarkStart w:id="52" w:name="_Toc150509269"/>
      <w:bookmarkStart w:id="53" w:name="_Toc151193616"/>
      <w:bookmarkStart w:id="54" w:name="_Toc151193760"/>
      <w:r>
        <w:rPr>
          <w:rFonts w:ascii="Times New Roman" w:hAnsi="Times New Roman" w:eastAsia="宋体"/>
          <w:color w:val="auto"/>
          <w:sz w:val="28"/>
          <w:highlight w:val="none"/>
        </w:rPr>
        <w:t>一   说  明</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ascii="Times New Roman" w:hAnsi="Times New Roman" w:eastAsia="宋体"/>
          <w:color w:val="auto"/>
          <w:sz w:val="28"/>
          <w:highlight w:val="none"/>
        </w:rPr>
        <w:tab/>
      </w:r>
    </w:p>
    <w:p w14:paraId="0CC5B2E5">
      <w:pPr>
        <w:numPr>
          <w:ilvl w:val="0"/>
          <w:numId w:val="8"/>
        </w:numPr>
        <w:tabs>
          <w:tab w:val="left" w:pos="360"/>
        </w:tabs>
        <w:spacing w:line="360" w:lineRule="auto"/>
        <w:ind w:left="357" w:hanging="357"/>
        <w:outlineLvl w:val="1"/>
        <w:rPr>
          <w:color w:val="auto"/>
          <w:sz w:val="24"/>
          <w:highlight w:val="none"/>
        </w:rPr>
      </w:pPr>
      <w:bookmarkStart w:id="55" w:name="_Toc305158787"/>
      <w:bookmarkStart w:id="56" w:name="_Toc264969209"/>
      <w:bookmarkStart w:id="57" w:name="_Toc265228357"/>
      <w:bookmarkStart w:id="58" w:name="_Toc305158861"/>
      <w:r>
        <w:rPr>
          <w:color w:val="auto"/>
          <w:sz w:val="24"/>
          <w:highlight w:val="none"/>
        </w:rPr>
        <w:t>采购人、采购代理机构、供应商</w:t>
      </w:r>
      <w:bookmarkEnd w:id="55"/>
      <w:bookmarkEnd w:id="56"/>
      <w:bookmarkEnd w:id="57"/>
      <w:bookmarkEnd w:id="58"/>
      <w:r>
        <w:rPr>
          <w:color w:val="auto"/>
          <w:sz w:val="24"/>
          <w:highlight w:val="none"/>
        </w:rPr>
        <w:t>、联合体</w:t>
      </w:r>
    </w:p>
    <w:p w14:paraId="5D8312FF">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采购人、采购代理机构：指依法进行政府采购的国家机关、事业单位、团体组织，及其委托的采购代理机构。本项目采购人、采购代理机构见第一章《采购邀请》。</w:t>
      </w:r>
    </w:p>
    <w:p w14:paraId="7C2A4FBA">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供应商（也称“申请人”）：指向采购人提供货物、工程或者服务的法人、其他组织或者自然人。</w:t>
      </w:r>
    </w:p>
    <w:p w14:paraId="37E3C9A1">
      <w:pPr>
        <w:numPr>
          <w:ilvl w:val="1"/>
          <w:numId w:val="8"/>
        </w:numPr>
        <w:tabs>
          <w:tab w:val="left" w:pos="1080"/>
          <w:tab w:val="left" w:pos="2014"/>
          <w:tab w:val="left" w:pos="5521"/>
        </w:tabs>
        <w:spacing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0F5418AB">
      <w:pPr>
        <w:numPr>
          <w:ilvl w:val="0"/>
          <w:numId w:val="8"/>
        </w:numPr>
        <w:tabs>
          <w:tab w:val="left" w:pos="360"/>
        </w:tabs>
        <w:spacing w:line="360" w:lineRule="auto"/>
        <w:ind w:left="357" w:hanging="357"/>
        <w:outlineLvl w:val="1"/>
        <w:rPr>
          <w:color w:val="auto"/>
          <w:sz w:val="24"/>
          <w:highlight w:val="none"/>
        </w:rPr>
      </w:pPr>
      <w:bookmarkStart w:id="59" w:name="_Toc151193762"/>
      <w:bookmarkStart w:id="60" w:name="_Toc151193834"/>
      <w:bookmarkStart w:id="61" w:name="_Toc151193908"/>
      <w:bookmarkStart w:id="62" w:name="_Toc195842885"/>
      <w:bookmarkStart w:id="63" w:name="_Toc127161434"/>
      <w:bookmarkStart w:id="64" w:name="_Toc164608634"/>
      <w:bookmarkStart w:id="65" w:name="_Toc305158862"/>
      <w:bookmarkStart w:id="66" w:name="_Toc151190147"/>
      <w:bookmarkStart w:id="67" w:name="_Toc265228358"/>
      <w:bookmarkStart w:id="68" w:name="_Toc264969210"/>
      <w:bookmarkStart w:id="69" w:name="_Toc150480758"/>
      <w:bookmarkStart w:id="70" w:name="_Toc150774725"/>
      <w:bookmarkStart w:id="71" w:name="_Toc149720813"/>
      <w:bookmarkStart w:id="72" w:name="_Toc151193618"/>
      <w:bookmarkStart w:id="73" w:name="_Toc127151721"/>
      <w:bookmarkStart w:id="74" w:name="_Toc164351614"/>
      <w:bookmarkStart w:id="75" w:name="_Toc226309764"/>
      <w:bookmarkStart w:id="76" w:name="_Toc226337216"/>
      <w:bookmarkStart w:id="77" w:name="_Toc164608789"/>
      <w:bookmarkStart w:id="78" w:name="_Toc127151520"/>
      <w:bookmarkStart w:id="79" w:name="_Toc150774620"/>
      <w:bookmarkStart w:id="80" w:name="_Toc151193690"/>
      <w:bookmarkStart w:id="81" w:name="_Toc164229215"/>
      <w:bookmarkStart w:id="82" w:name="_Toc226965793"/>
      <w:bookmarkStart w:id="83" w:name="_Toc305158788"/>
      <w:bookmarkStart w:id="84" w:name="_Toc164229361"/>
      <w:bookmarkStart w:id="85" w:name="_Toc226965710"/>
      <w:bookmarkStart w:id="86" w:name="_Toc142311022"/>
      <w:bookmarkStart w:id="87" w:name="_Toc150509271"/>
      <w:r>
        <w:rPr>
          <w:color w:val="auto"/>
          <w:sz w:val="24"/>
          <w:highlight w:val="none"/>
        </w:rPr>
        <w:t>资金来源</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color w:val="auto"/>
          <w:sz w:val="24"/>
          <w:highlight w:val="none"/>
        </w:rPr>
        <w:t>、项目属性、科研仪器设备采购</w:t>
      </w:r>
    </w:p>
    <w:p w14:paraId="1D7FC5DB">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2F8DB34B">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项目属性见《供应商须知资料表》。</w:t>
      </w:r>
    </w:p>
    <w:p w14:paraId="274F12F3">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是否属于科研仪器设备采购见《供应商须知资料表》。</w:t>
      </w:r>
    </w:p>
    <w:p w14:paraId="1FA86341">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现场考察、磋商前答疑会</w:t>
      </w:r>
    </w:p>
    <w:p w14:paraId="03422503">
      <w:pPr>
        <w:numPr>
          <w:ilvl w:val="1"/>
          <w:numId w:val="8"/>
        </w:numPr>
        <w:tabs>
          <w:tab w:val="left" w:pos="1080"/>
          <w:tab w:val="left" w:pos="2014"/>
        </w:tabs>
        <w:spacing w:line="360" w:lineRule="auto"/>
        <w:ind w:left="1080" w:hanging="720"/>
        <w:rPr>
          <w:color w:val="auto"/>
          <w:sz w:val="28"/>
          <w:highlight w:val="none"/>
        </w:rPr>
      </w:pPr>
      <w:r>
        <w:rPr>
          <w:color w:val="auto"/>
          <w:sz w:val="24"/>
          <w:highlight w:val="none"/>
        </w:rPr>
        <w:t>若《供应商须知资料表》中规定了组织现场考察、召开磋商前答疑会，则供应商应按要求在规定的时间和地点参加。</w:t>
      </w:r>
      <w:bookmarkStart w:id="88" w:name="_Toc150480760"/>
      <w:bookmarkStart w:id="89" w:name="_Toc265228360"/>
      <w:bookmarkStart w:id="90" w:name="_Toc150509273"/>
      <w:bookmarkStart w:id="91" w:name="_Toc195842887"/>
      <w:bookmarkStart w:id="92" w:name="_Toc151193836"/>
      <w:bookmarkStart w:id="93" w:name="_Toc151193764"/>
      <w:bookmarkStart w:id="94" w:name="_Toc151193910"/>
      <w:bookmarkStart w:id="95" w:name="_Toc151193620"/>
      <w:bookmarkStart w:id="96" w:name="_Toc226965795"/>
      <w:bookmarkStart w:id="97" w:name="_Toc226337218"/>
      <w:bookmarkStart w:id="98" w:name="_Toc150774622"/>
      <w:bookmarkStart w:id="99" w:name="_Toc305158864"/>
      <w:bookmarkStart w:id="100" w:name="_Toc151193692"/>
      <w:bookmarkStart w:id="101" w:name="_Toc142311024"/>
      <w:bookmarkStart w:id="102" w:name="_Toc520356146"/>
      <w:bookmarkStart w:id="103" w:name="_Toc127151522"/>
      <w:bookmarkStart w:id="104" w:name="_Toc226965712"/>
      <w:bookmarkStart w:id="105" w:name="_Toc226309766"/>
      <w:bookmarkStart w:id="106" w:name="_Toc264969212"/>
      <w:bookmarkStart w:id="107" w:name="_Toc305158790"/>
      <w:bookmarkStart w:id="108" w:name="_Toc150774727"/>
      <w:bookmarkStart w:id="109" w:name="_Toc151190149"/>
    </w:p>
    <w:p w14:paraId="6F134DC5">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39D03E9C">
      <w:pPr>
        <w:numPr>
          <w:ilvl w:val="0"/>
          <w:numId w:val="8"/>
        </w:numPr>
        <w:tabs>
          <w:tab w:val="left" w:pos="360"/>
        </w:tabs>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6B69AD50">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进口产品</w:t>
      </w:r>
    </w:p>
    <w:p w14:paraId="03E0A948">
      <w:pPr>
        <w:numPr>
          <w:ilvl w:val="2"/>
          <w:numId w:val="8"/>
        </w:numPr>
        <w:tabs>
          <w:tab w:val="left" w:pos="2014"/>
        </w:tabs>
        <w:spacing w:line="360" w:lineRule="auto"/>
        <w:rPr>
          <w:color w:val="auto"/>
          <w:sz w:val="24"/>
          <w:highlight w:val="none"/>
        </w:rPr>
      </w:pP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8F857C7">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中小企业、监狱企业及残疾人福利性单位</w:t>
      </w:r>
    </w:p>
    <w:p w14:paraId="0FFB69CB">
      <w:pPr>
        <w:numPr>
          <w:ilvl w:val="2"/>
          <w:numId w:val="8"/>
        </w:numPr>
        <w:spacing w:line="360" w:lineRule="auto"/>
        <w:rPr>
          <w:vanish/>
          <w:color w:val="auto"/>
          <w:sz w:val="24"/>
          <w:highlight w:val="none"/>
        </w:rPr>
      </w:pPr>
      <w:r>
        <w:rPr>
          <w:color w:val="auto"/>
          <w:sz w:val="24"/>
          <w:highlight w:val="none"/>
        </w:rPr>
        <w:t>中小企业定义：</w:t>
      </w:r>
    </w:p>
    <w:p w14:paraId="042EDA06">
      <w:pPr>
        <w:pStyle w:val="338"/>
        <w:tabs>
          <w:tab w:val="left" w:pos="2035"/>
          <w:tab w:val="left" w:pos="2977"/>
        </w:tabs>
        <w:spacing w:line="360" w:lineRule="auto"/>
        <w:ind w:firstLine="0"/>
        <w:rPr>
          <w:rFonts w:ascii="Times New Roman" w:hAnsi="Times New Roman"/>
          <w:vanish/>
          <w:color w:val="auto"/>
          <w:sz w:val="24"/>
          <w:szCs w:val="24"/>
          <w:highlight w:val="none"/>
        </w:rPr>
      </w:pPr>
    </w:p>
    <w:p w14:paraId="55E21D4E">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A1FD701">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07D2D116">
      <w:pPr>
        <w:tabs>
          <w:tab w:val="left" w:pos="1980"/>
        </w:tabs>
        <w:spacing w:line="360" w:lineRule="auto"/>
        <w:ind w:left="2835"/>
        <w:rPr>
          <w:color w:val="auto"/>
          <w:sz w:val="24"/>
          <w:highlight w:val="none"/>
        </w:rPr>
      </w:pPr>
      <w:r>
        <w:rPr>
          <w:color w:val="auto"/>
          <w:sz w:val="24"/>
          <w:highlight w:val="none"/>
        </w:rPr>
        <w:t>（1）在货物采购项目中，货物由中小企业制造，即货物由中小企业生产且使用该中小企业商号或者注册商标；</w:t>
      </w:r>
    </w:p>
    <w:p w14:paraId="500A15F4">
      <w:pPr>
        <w:tabs>
          <w:tab w:val="left" w:pos="1980"/>
        </w:tabs>
        <w:spacing w:line="360" w:lineRule="auto"/>
        <w:ind w:left="2835"/>
        <w:rPr>
          <w:color w:val="auto"/>
          <w:sz w:val="24"/>
          <w:highlight w:val="none"/>
        </w:rPr>
      </w:pPr>
      <w:r>
        <w:rPr>
          <w:color w:val="auto"/>
          <w:sz w:val="24"/>
          <w:highlight w:val="none"/>
        </w:rPr>
        <w:t>（2）在工程采购项目中，工程由中小企业承建，即工程施工单位为中小企业；</w:t>
      </w:r>
    </w:p>
    <w:p w14:paraId="4BDC34D2">
      <w:pPr>
        <w:tabs>
          <w:tab w:val="left" w:pos="1980"/>
        </w:tabs>
        <w:spacing w:line="360" w:lineRule="auto"/>
        <w:ind w:left="2835"/>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1D3222C7">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1CCD8C98">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526FBF7B">
      <w:pPr>
        <w:numPr>
          <w:ilvl w:val="2"/>
          <w:numId w:val="8"/>
        </w:numPr>
        <w:spacing w:line="360" w:lineRule="auto"/>
        <w:rPr>
          <w:color w:val="auto"/>
          <w:sz w:val="24"/>
          <w:highlight w:val="none"/>
        </w:rPr>
      </w:pPr>
      <w:r>
        <w:rPr>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37D167">
      <w:pPr>
        <w:numPr>
          <w:ilvl w:val="2"/>
          <w:numId w:val="8"/>
        </w:numPr>
        <w:spacing w:line="360" w:lineRule="auto"/>
        <w:rPr>
          <w:vanish/>
          <w:color w:val="auto"/>
          <w:sz w:val="24"/>
          <w:highlight w:val="none"/>
        </w:rPr>
      </w:pPr>
      <w:r>
        <w:rPr>
          <w:color w:val="auto"/>
          <w:sz w:val="24"/>
          <w:highlight w:val="none"/>
        </w:rPr>
        <w:t>残疾人福利单位定义：享受政府采购支持政策的残疾人福利性单位应当同时满足以下条件：</w:t>
      </w:r>
    </w:p>
    <w:p w14:paraId="75BE766B">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 人（含10 人）；</w:t>
      </w:r>
    </w:p>
    <w:p w14:paraId="65DDC217">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5B1F1DCA">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63B42661">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3604D92B">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3BC820A6">
      <w:pPr>
        <w:numPr>
          <w:ilvl w:val="3"/>
          <w:numId w:val="8"/>
        </w:numPr>
        <w:tabs>
          <w:tab w:val="left" w:pos="1980"/>
          <w:tab w:val="left" w:pos="2035"/>
          <w:tab w:val="left" w:pos="2885"/>
          <w:tab w:val="left" w:pos="2977"/>
        </w:tabs>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7402586">
      <w:pPr>
        <w:numPr>
          <w:ilvl w:val="2"/>
          <w:numId w:val="8"/>
        </w:numPr>
        <w:spacing w:line="360" w:lineRule="auto"/>
        <w:rPr>
          <w:color w:val="auto"/>
          <w:sz w:val="24"/>
          <w:highlight w:val="none"/>
        </w:rPr>
      </w:pPr>
      <w:r>
        <w:rPr>
          <w:color w:val="auto"/>
          <w:sz w:val="24"/>
          <w:highlight w:val="none"/>
        </w:rPr>
        <w:t>本项目是否专门面向中小企业预留采购份额见第一章《采购邀请》。</w:t>
      </w:r>
    </w:p>
    <w:p w14:paraId="74B3535C">
      <w:pPr>
        <w:numPr>
          <w:ilvl w:val="2"/>
          <w:numId w:val="8"/>
        </w:numPr>
        <w:spacing w:line="360" w:lineRule="auto"/>
        <w:rPr>
          <w:color w:val="auto"/>
          <w:sz w:val="24"/>
          <w:highlight w:val="none"/>
        </w:rPr>
      </w:pPr>
      <w:r>
        <w:rPr>
          <w:color w:val="auto"/>
          <w:sz w:val="24"/>
          <w:highlight w:val="none"/>
        </w:rPr>
        <w:t>采购标的对应的中小企业划分标准所属行业见《供应商须知资料表》。</w:t>
      </w:r>
    </w:p>
    <w:p w14:paraId="0B6CD48D">
      <w:pPr>
        <w:numPr>
          <w:ilvl w:val="2"/>
          <w:numId w:val="8"/>
        </w:numPr>
        <w:spacing w:line="360" w:lineRule="auto"/>
        <w:rPr>
          <w:color w:val="auto"/>
          <w:sz w:val="24"/>
          <w:highlight w:val="none"/>
        </w:rPr>
      </w:pPr>
      <w:r>
        <w:rPr>
          <w:color w:val="auto"/>
          <w:sz w:val="24"/>
          <w:highlight w:val="none"/>
        </w:rPr>
        <w:t>小微企业价格评审优惠的政策调整：见第三章《评审方法和评审标准》。</w:t>
      </w:r>
    </w:p>
    <w:p w14:paraId="311D6A9A">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政府采购节能产品、环境标志产品</w:t>
      </w:r>
    </w:p>
    <w:p w14:paraId="4C538DCA">
      <w:pPr>
        <w:numPr>
          <w:ilvl w:val="2"/>
          <w:numId w:val="8"/>
        </w:numPr>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0B9B14">
      <w:pPr>
        <w:numPr>
          <w:ilvl w:val="2"/>
          <w:numId w:val="8"/>
        </w:numPr>
        <w:spacing w:line="360" w:lineRule="auto"/>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530D158">
      <w:pPr>
        <w:numPr>
          <w:ilvl w:val="2"/>
          <w:numId w:val="8"/>
        </w:numPr>
        <w:spacing w:line="360" w:lineRule="auto"/>
        <w:rPr>
          <w:color w:val="auto"/>
          <w:sz w:val="24"/>
          <w:highlight w:val="none"/>
        </w:rPr>
      </w:pPr>
      <w:r>
        <w:rPr>
          <w:color w:val="auto"/>
          <w:sz w:val="24"/>
          <w:highlight w:val="none"/>
        </w:rPr>
        <w:t>如本项目采购产品属于实施政府强制采购品目清单范围的节能产品，则供应商所报产品必须获得国家确定的认证机构出具的、处于有效期之内的节能产品认证证书，否则</w:t>
      </w:r>
      <w:r>
        <w:rPr>
          <w:b/>
          <w:color w:val="auto"/>
          <w:sz w:val="24"/>
          <w:highlight w:val="none"/>
        </w:rPr>
        <w:t>响应无效</w:t>
      </w:r>
      <w:r>
        <w:rPr>
          <w:color w:val="auto"/>
          <w:sz w:val="24"/>
          <w:highlight w:val="none"/>
        </w:rPr>
        <w:t>；</w:t>
      </w:r>
    </w:p>
    <w:p w14:paraId="68ADA7FD">
      <w:pPr>
        <w:numPr>
          <w:ilvl w:val="2"/>
          <w:numId w:val="8"/>
        </w:numPr>
        <w:spacing w:line="360" w:lineRule="auto"/>
        <w:rPr>
          <w:color w:val="auto"/>
          <w:sz w:val="24"/>
          <w:highlight w:val="none"/>
        </w:rPr>
      </w:pPr>
      <w:r>
        <w:rPr>
          <w:color w:val="auto"/>
          <w:sz w:val="24"/>
          <w:highlight w:val="none"/>
        </w:rPr>
        <w:t>非政府强制采购的节能产品或环境标志产品，依据品目清单和认证证书实施政府优先采购。优先采购的具体规定见第三章《评审方法和评审标准》（如涉及）。</w:t>
      </w:r>
    </w:p>
    <w:p w14:paraId="513A4FEC">
      <w:pPr>
        <w:numPr>
          <w:ilvl w:val="2"/>
          <w:numId w:val="8"/>
        </w:numPr>
        <w:tabs>
          <w:tab w:val="left" w:pos="2014"/>
        </w:tabs>
        <w:spacing w:line="360" w:lineRule="auto"/>
        <w:rPr>
          <w:color w:val="auto"/>
          <w:sz w:val="24"/>
          <w:highlight w:val="none"/>
        </w:rPr>
      </w:pPr>
      <w:r>
        <w:rPr>
          <w:rFonts w:hint="eastAsia"/>
          <w:color w:val="auto"/>
          <w:sz w:val="24"/>
          <w:highlight w:val="none"/>
        </w:rPr>
        <w:t>依据</w:t>
      </w:r>
      <w:r>
        <w:rPr>
          <w:color w:val="auto"/>
          <w:sz w:val="24"/>
          <w:highlight w:val="none"/>
        </w:rPr>
        <w:t>《关于印发〈商品包装政府采购需求标准（试行）〉、〈快递包装政府采购需求标准（试行）〉的通知》（财办库〔2020〕123号）</w:t>
      </w:r>
      <w:r>
        <w:rPr>
          <w:rFonts w:hint="eastAsia"/>
          <w:color w:val="auto"/>
          <w:sz w:val="24"/>
          <w:highlight w:val="none"/>
        </w:rPr>
        <w:t>文件</w:t>
      </w:r>
      <w:r>
        <w:rPr>
          <w:color w:val="auto"/>
          <w:sz w:val="24"/>
          <w:highlight w:val="none"/>
        </w:rPr>
        <w:t>精神</w:t>
      </w:r>
      <w:r>
        <w:rPr>
          <w:rFonts w:hint="eastAsia"/>
          <w:color w:val="auto"/>
          <w:sz w:val="24"/>
          <w:highlight w:val="none"/>
        </w:rPr>
        <w:t>，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14:paraId="1EF27097">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支持乡村产业振兴管理</w:t>
      </w:r>
    </w:p>
    <w:p w14:paraId="144EE70E">
      <w:pPr>
        <w:numPr>
          <w:ilvl w:val="2"/>
          <w:numId w:val="8"/>
        </w:numPr>
        <w:tabs>
          <w:tab w:val="left" w:pos="2014"/>
        </w:tabs>
        <w:spacing w:line="360" w:lineRule="auto"/>
        <w:rPr>
          <w:color w:val="auto"/>
          <w:sz w:val="24"/>
          <w:highlight w:val="none"/>
        </w:rPr>
      </w:pPr>
      <w:r>
        <w:rPr>
          <w:color w:val="auto"/>
          <w:sz w:val="24"/>
          <w:highlight w:val="none"/>
        </w:rPr>
        <w:t>为落实《关于运用政府采购政策支持乡村产业振兴的通知》（财库〔2021〕19号）有关要求，做好支持脱贫攻坚工作，本项目采购活动中对于支持乡村振兴管理的相关要求见第四章《采购需求》（如涉及）。</w:t>
      </w:r>
    </w:p>
    <w:p w14:paraId="6BB752A5">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正版软件</w:t>
      </w:r>
    </w:p>
    <w:p w14:paraId="1B6C92B5">
      <w:pPr>
        <w:numPr>
          <w:ilvl w:val="2"/>
          <w:numId w:val="8"/>
        </w:numPr>
        <w:spacing w:line="360" w:lineRule="auto"/>
        <w:rPr>
          <w:color w:val="auto"/>
          <w:sz w:val="24"/>
          <w:highlight w:val="none"/>
        </w:rPr>
      </w:pP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15629.11/1102）并通过国家产品认证的产品，否则</w:t>
      </w:r>
      <w:r>
        <w:rPr>
          <w:b/>
          <w:color w:val="auto"/>
          <w:sz w:val="24"/>
          <w:highlight w:val="none"/>
        </w:rPr>
        <w:t>响应无效</w:t>
      </w:r>
      <w:r>
        <w:rPr>
          <w:color w:val="auto"/>
          <w:sz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0A5FFCE">
      <w:pPr>
        <w:numPr>
          <w:ilvl w:val="2"/>
          <w:numId w:val="8"/>
        </w:numPr>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0FA0F7C">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信息安全产品</w:t>
      </w:r>
    </w:p>
    <w:p w14:paraId="3CDD8610">
      <w:pPr>
        <w:numPr>
          <w:ilvl w:val="2"/>
          <w:numId w:val="8"/>
        </w:numPr>
        <w:tabs>
          <w:tab w:val="left" w:pos="2014"/>
        </w:tabs>
        <w:spacing w:line="360" w:lineRule="auto"/>
        <w:rPr>
          <w:color w:val="auto"/>
          <w:sz w:val="24"/>
          <w:highlight w:val="none"/>
        </w:rPr>
      </w:pPr>
      <w:r>
        <w:rPr>
          <w:color w:val="auto"/>
          <w:sz w:val="24"/>
          <w:highlight w:val="none"/>
        </w:rPr>
        <w:t>所投产品属于《关于调整信息安全产品强制性认证实施要求的公告》（2009 年第33 号）范围的，采购经国家认证的信息安全产品，否则</w:t>
      </w:r>
      <w:r>
        <w:rPr>
          <w:b/>
          <w:color w:val="auto"/>
          <w:sz w:val="24"/>
          <w:highlight w:val="none"/>
        </w:rPr>
        <w:t>响应无效</w:t>
      </w:r>
      <w:r>
        <w:rPr>
          <w:color w:val="auto"/>
          <w:sz w:val="24"/>
          <w:highlight w:val="none"/>
        </w:rPr>
        <w:t>。关于信息安全相关规定依据《关于信息安全产品实施政府采购的通知》（财库〔2010〕48 号）。</w:t>
      </w:r>
    </w:p>
    <w:p w14:paraId="0AF52FF5">
      <w:pPr>
        <w:numPr>
          <w:ilvl w:val="1"/>
          <w:numId w:val="8"/>
        </w:numPr>
        <w:tabs>
          <w:tab w:val="left" w:pos="1080"/>
          <w:tab w:val="left" w:pos="2014"/>
        </w:tabs>
        <w:spacing w:line="360" w:lineRule="auto"/>
        <w:ind w:left="1080" w:hanging="720"/>
        <w:rPr>
          <w:color w:val="auto"/>
          <w:sz w:val="24"/>
          <w:highlight w:val="none"/>
        </w:rPr>
      </w:pPr>
      <w:r>
        <w:rPr>
          <w:rFonts w:hint="eastAsia"/>
          <w:color w:val="auto"/>
          <w:sz w:val="24"/>
          <w:highlight w:val="none"/>
        </w:rPr>
        <w:t>政府采购创新产品政策</w:t>
      </w:r>
    </w:p>
    <w:p w14:paraId="1FB46106">
      <w:pPr>
        <w:numPr>
          <w:ilvl w:val="2"/>
          <w:numId w:val="8"/>
        </w:numPr>
        <w:tabs>
          <w:tab w:val="left" w:pos="2014"/>
        </w:tabs>
        <w:spacing w:line="360" w:lineRule="auto"/>
        <w:rPr>
          <w:color w:val="auto"/>
          <w:sz w:val="24"/>
          <w:highlight w:val="none"/>
        </w:rPr>
      </w:pPr>
      <w:r>
        <w:rPr>
          <w:rFonts w:hint="eastAsia"/>
          <w:color w:val="auto"/>
          <w:sz w:val="24"/>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14:paraId="2FEFBE24">
      <w:pPr>
        <w:numPr>
          <w:ilvl w:val="1"/>
          <w:numId w:val="8"/>
        </w:numPr>
        <w:tabs>
          <w:tab w:val="left" w:pos="1080"/>
          <w:tab w:val="left" w:pos="2014"/>
        </w:tabs>
        <w:spacing w:line="360" w:lineRule="auto"/>
        <w:ind w:left="1080" w:hanging="720"/>
        <w:rPr>
          <w:color w:val="auto"/>
          <w:sz w:val="24"/>
          <w:highlight w:val="none"/>
        </w:rPr>
      </w:pPr>
      <w:r>
        <w:rPr>
          <w:rFonts w:hint="eastAsia"/>
          <w:color w:val="auto"/>
          <w:sz w:val="24"/>
          <w:highlight w:val="none"/>
        </w:rPr>
        <w:t xml:space="preserve">绿色采购政策 </w:t>
      </w:r>
    </w:p>
    <w:p w14:paraId="2239DDC5">
      <w:pPr>
        <w:numPr>
          <w:ilvl w:val="2"/>
          <w:numId w:val="8"/>
        </w:numPr>
        <w:tabs>
          <w:tab w:val="left" w:pos="2014"/>
        </w:tabs>
        <w:spacing w:line="360" w:lineRule="auto"/>
        <w:rPr>
          <w:color w:val="auto"/>
          <w:sz w:val="24"/>
          <w:highlight w:val="none"/>
        </w:rPr>
      </w:pPr>
      <w:r>
        <w:rPr>
          <w:rFonts w:hint="eastAsia"/>
          <w:color w:val="auto"/>
          <w:sz w:val="24"/>
          <w:highlight w:val="none"/>
        </w:rPr>
        <w:t xml:space="preserve">绿色数据中心政策 </w:t>
      </w:r>
    </w:p>
    <w:p w14:paraId="5D2518C1">
      <w:pPr>
        <w:tabs>
          <w:tab w:val="left" w:pos="2014"/>
        </w:tabs>
        <w:spacing w:line="360" w:lineRule="auto"/>
        <w:ind w:left="1915"/>
        <w:rPr>
          <w:color w:val="auto"/>
          <w:sz w:val="24"/>
          <w:highlight w:val="none"/>
        </w:rPr>
      </w:pPr>
      <w:r>
        <w:rPr>
          <w:rFonts w:hint="eastAsia"/>
          <w:color w:val="auto"/>
          <w:sz w:val="24"/>
          <w:highlight w:val="none"/>
        </w:rPr>
        <w:t>依据《绿色数据中心政府采购需求标准（试行）》（财办库〔2023〕7 号）文件精神，采购人在采购数据中心相关设备、运维服务，应当有利于节约能源、环境保护和资源循环利用，按照《需求标准》实施相关采购活动。采购人应当加强采购需求管理，根据《需求标准》提出的指标编制数据中心相关设备、运维服务政府采购项目的采购文件，并在合同中明确对相关指标的验收方式和违约责任。采购人应当在履约验收中对供应商提供的产品或服务进行抽查检测，必要时可委托取得相关资质的第三方机构对其进行检测、认证。因检测、认证涉及生产过程或检测时间长等原因，不能在验收过程中开展检测、认证的，可要求供应商在验收阶段提供相关检测报告、认证报告。</w:t>
      </w:r>
    </w:p>
    <w:p w14:paraId="2EBD9CD4">
      <w:pPr>
        <w:numPr>
          <w:ilvl w:val="2"/>
          <w:numId w:val="8"/>
        </w:numPr>
        <w:tabs>
          <w:tab w:val="left" w:pos="2014"/>
        </w:tabs>
        <w:spacing w:line="360" w:lineRule="auto"/>
        <w:rPr>
          <w:color w:val="auto"/>
          <w:sz w:val="24"/>
          <w:highlight w:val="none"/>
        </w:rPr>
      </w:pPr>
      <w:r>
        <w:rPr>
          <w:rFonts w:hint="eastAsia"/>
          <w:color w:val="auto"/>
          <w:sz w:val="24"/>
          <w:highlight w:val="none"/>
        </w:rPr>
        <w:t>推广应用绿色建材</w:t>
      </w:r>
    </w:p>
    <w:p w14:paraId="42506AD2">
      <w:pPr>
        <w:tabs>
          <w:tab w:val="left" w:pos="2014"/>
        </w:tabs>
        <w:spacing w:line="360" w:lineRule="auto"/>
        <w:ind w:left="1915"/>
        <w:rPr>
          <w:color w:val="auto"/>
          <w:sz w:val="24"/>
          <w:highlight w:val="none"/>
        </w:rPr>
      </w:pPr>
      <w:r>
        <w:rPr>
          <w:rFonts w:hint="eastAsia"/>
          <w:color w:val="auto"/>
          <w:sz w:val="24"/>
          <w:highlight w:val="none"/>
        </w:rPr>
        <w:t>采购人实施政府采购工程项目，要按照《常州市政府采购支持绿色建材促进建筑品质提升试点工作方案》（常财购〔2023〕18 号）总体要求，落实《绿色建筑和绿色建材政府采购需求标准》（财库〔2022〕35 号）和《政府采购支持绿色建材促进建筑品质提升政策项目实施指南》（财办库〔2023〕52 号）,依据相关需求标准确定采购需求，在采购文件和采购合同中载明具体需求、履约验收条款和违约责任。</w:t>
      </w:r>
    </w:p>
    <w:p w14:paraId="13C5DC25">
      <w:pPr>
        <w:numPr>
          <w:ilvl w:val="2"/>
          <w:numId w:val="8"/>
        </w:numPr>
        <w:tabs>
          <w:tab w:val="left" w:pos="2014"/>
        </w:tabs>
        <w:spacing w:line="360" w:lineRule="auto"/>
        <w:rPr>
          <w:color w:val="auto"/>
          <w:sz w:val="24"/>
          <w:highlight w:val="none"/>
        </w:rPr>
      </w:pPr>
      <w:r>
        <w:rPr>
          <w:rFonts w:hint="eastAsia"/>
          <w:color w:val="auto"/>
          <w:sz w:val="24"/>
          <w:highlight w:val="none"/>
        </w:rPr>
        <w:t>优先使用低挥发性有机化合物产品</w:t>
      </w:r>
    </w:p>
    <w:p w14:paraId="210EAC2B">
      <w:pPr>
        <w:tabs>
          <w:tab w:val="left" w:pos="2014"/>
        </w:tabs>
        <w:spacing w:line="360" w:lineRule="auto"/>
        <w:ind w:left="1915"/>
        <w:rPr>
          <w:color w:val="auto"/>
          <w:sz w:val="24"/>
          <w:highlight w:val="none"/>
        </w:rPr>
      </w:pPr>
      <w:r>
        <w:rPr>
          <w:rFonts w:hint="eastAsia"/>
          <w:color w:val="auto"/>
          <w:sz w:val="24"/>
          <w:highlight w:val="none"/>
        </w:rPr>
        <w:t>采购人要落实挥发性有机化合物（VOCs）治理要求，若本项目中涉及涂料、胶黏剂、油墨、清洗剂等挥发性有机物产品的，属于强制性标准的，磋商供应商应当提供符合国家和江苏省相关VOCs 含量限制标准的产品；属于推荐性标准的，应当在采购文件中载明低VOCs的优惠幅度、评审标准等，以体现优先采购。</w:t>
      </w:r>
    </w:p>
    <w:p w14:paraId="38250FA8">
      <w:pPr>
        <w:numPr>
          <w:ilvl w:val="0"/>
          <w:numId w:val="8"/>
        </w:numPr>
        <w:tabs>
          <w:tab w:val="left" w:pos="360"/>
        </w:tabs>
        <w:spacing w:line="360" w:lineRule="auto"/>
        <w:ind w:left="357" w:hanging="357"/>
        <w:outlineLvl w:val="1"/>
        <w:rPr>
          <w:color w:val="auto"/>
          <w:sz w:val="24"/>
          <w:highlight w:val="none"/>
        </w:rPr>
      </w:pPr>
      <w:r>
        <w:rPr>
          <w:color w:val="auto"/>
          <w:sz w:val="24"/>
          <w:highlight w:val="none"/>
        </w:rPr>
        <w:t>响应费用</w:t>
      </w:r>
    </w:p>
    <w:p w14:paraId="5B1BFBFD">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供应商应自行承担所有与准备和参加磋商有关的费用，无论磋商的结果如何，采购人或采购代理机构在任何情况下均无承担这些费用的义务和责任。</w:t>
      </w:r>
    </w:p>
    <w:p w14:paraId="5C33B53E">
      <w:pPr>
        <w:tabs>
          <w:tab w:val="left" w:pos="1080"/>
        </w:tabs>
        <w:spacing w:line="360" w:lineRule="auto"/>
        <w:ind w:left="1080"/>
        <w:rPr>
          <w:color w:val="auto"/>
          <w:sz w:val="28"/>
          <w:highlight w:val="none"/>
        </w:rPr>
      </w:pPr>
      <w:bookmarkStart w:id="110" w:name="_1.8_计量单位"/>
      <w:bookmarkEnd w:id="110"/>
    </w:p>
    <w:p w14:paraId="0E7BA3AB">
      <w:pPr>
        <w:pStyle w:val="239"/>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竞争性磋商文件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4E1A502">
      <w:pPr>
        <w:numPr>
          <w:ilvl w:val="0"/>
          <w:numId w:val="8"/>
        </w:numPr>
        <w:tabs>
          <w:tab w:val="left" w:pos="360"/>
        </w:tabs>
        <w:spacing w:line="360" w:lineRule="auto"/>
        <w:ind w:left="357" w:hanging="357"/>
        <w:outlineLvl w:val="1"/>
        <w:rPr>
          <w:color w:val="auto"/>
          <w:sz w:val="24"/>
          <w:highlight w:val="none"/>
        </w:rPr>
      </w:pPr>
      <w:bookmarkStart w:id="111" w:name="_Toc151193693"/>
      <w:bookmarkStart w:id="112" w:name="_Toc142311025"/>
      <w:bookmarkStart w:id="113" w:name="_Toc164351617"/>
      <w:bookmarkStart w:id="114" w:name="_Toc264969213"/>
      <w:bookmarkStart w:id="115" w:name="_Toc226337219"/>
      <w:bookmarkStart w:id="116" w:name="_Toc127151724"/>
      <w:bookmarkStart w:id="117" w:name="_Toc127151523"/>
      <w:bookmarkStart w:id="118" w:name="_Toc151190150"/>
      <w:bookmarkStart w:id="119" w:name="_Toc151193837"/>
      <w:bookmarkStart w:id="120" w:name="_Toc195842888"/>
      <w:bookmarkStart w:id="121" w:name="_Toc520356147"/>
      <w:bookmarkStart w:id="122" w:name="_Toc150774728"/>
      <w:bookmarkStart w:id="123" w:name="_Toc226965796"/>
      <w:bookmarkStart w:id="124" w:name="_Toc149720816"/>
      <w:bookmarkStart w:id="125" w:name="_Toc226309767"/>
      <w:bookmarkStart w:id="126" w:name="_Toc305158865"/>
      <w:bookmarkStart w:id="127" w:name="_Toc164608637"/>
      <w:bookmarkStart w:id="128" w:name="_Toc151193621"/>
      <w:bookmarkStart w:id="129" w:name="_Toc150509274"/>
      <w:bookmarkStart w:id="130" w:name="_Toc151193911"/>
      <w:bookmarkStart w:id="131" w:name="_Toc151193765"/>
      <w:bookmarkStart w:id="132" w:name="_Toc164229364"/>
      <w:bookmarkStart w:id="133" w:name="_Toc164229218"/>
      <w:bookmarkStart w:id="134" w:name="_Toc305158791"/>
      <w:bookmarkStart w:id="135" w:name="_Toc150774623"/>
      <w:bookmarkStart w:id="136" w:name="_Toc265228361"/>
      <w:bookmarkStart w:id="137" w:name="_Toc150480761"/>
      <w:bookmarkStart w:id="138" w:name="_Toc127161437"/>
      <w:bookmarkStart w:id="139" w:name="_Toc164608792"/>
      <w:bookmarkStart w:id="140" w:name="_Toc226965713"/>
      <w:r>
        <w:rPr>
          <w:color w:val="auto"/>
          <w:sz w:val="24"/>
          <w:highlight w:val="none"/>
        </w:rPr>
        <w:t>竞争性磋商文件构</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color w:val="auto"/>
          <w:sz w:val="24"/>
          <w:highlight w:val="none"/>
        </w:rPr>
        <w:t>成</w:t>
      </w:r>
    </w:p>
    <w:p w14:paraId="5E5838E9">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竞争性磋商文件包括以下部分：</w:t>
      </w:r>
    </w:p>
    <w:p w14:paraId="37103D1C">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采购邀请</w:t>
      </w:r>
    </w:p>
    <w:p w14:paraId="5B1E1163">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供应商须知</w:t>
      </w:r>
    </w:p>
    <w:p w14:paraId="29CCEB64">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评审</w:t>
      </w:r>
      <w:r>
        <w:rPr>
          <w:rFonts w:hint="eastAsia"/>
          <w:color w:val="auto"/>
          <w:sz w:val="24"/>
          <w:highlight w:val="none"/>
        </w:rPr>
        <w:t>程序、评审</w:t>
      </w:r>
      <w:r>
        <w:rPr>
          <w:color w:val="auto"/>
          <w:sz w:val="24"/>
          <w:highlight w:val="none"/>
        </w:rPr>
        <w:t>方法和评审标准</w:t>
      </w:r>
    </w:p>
    <w:p w14:paraId="69A78101">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采购需求</w:t>
      </w:r>
    </w:p>
    <w:p w14:paraId="08FA3DA6">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合同草案条款</w:t>
      </w:r>
    </w:p>
    <w:p w14:paraId="2C53A75F">
      <w:pPr>
        <w:numPr>
          <w:ilvl w:val="0"/>
          <w:numId w:val="9"/>
        </w:numPr>
        <w:tabs>
          <w:tab w:val="left" w:pos="1980"/>
          <w:tab w:val="left" w:pos="2520"/>
        </w:tabs>
        <w:spacing w:line="360" w:lineRule="auto"/>
        <w:ind w:left="1440" w:firstLine="5"/>
        <w:rPr>
          <w:color w:val="auto"/>
          <w:sz w:val="24"/>
          <w:highlight w:val="none"/>
        </w:rPr>
      </w:pPr>
      <w:r>
        <w:rPr>
          <w:color w:val="auto"/>
          <w:sz w:val="24"/>
          <w:highlight w:val="none"/>
        </w:rPr>
        <w:t>响应文件格式</w:t>
      </w:r>
    </w:p>
    <w:p w14:paraId="4C132919">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b/>
          <w:color w:val="auto"/>
          <w:sz w:val="24"/>
          <w:highlight w:val="none"/>
        </w:rPr>
        <w:t>响应无效</w:t>
      </w:r>
      <w:r>
        <w:rPr>
          <w:color w:val="auto"/>
          <w:sz w:val="24"/>
          <w:highlight w:val="none"/>
        </w:rPr>
        <w:t>。</w:t>
      </w:r>
    </w:p>
    <w:p w14:paraId="5EF036FC">
      <w:pPr>
        <w:numPr>
          <w:ilvl w:val="0"/>
          <w:numId w:val="8"/>
        </w:numPr>
        <w:tabs>
          <w:tab w:val="left" w:pos="1080"/>
          <w:tab w:val="left" w:pos="2014"/>
        </w:tabs>
        <w:spacing w:line="360" w:lineRule="auto"/>
        <w:ind w:left="357" w:hanging="357"/>
        <w:outlineLvl w:val="1"/>
        <w:rPr>
          <w:color w:val="auto"/>
          <w:sz w:val="24"/>
          <w:highlight w:val="none"/>
        </w:rPr>
      </w:pPr>
      <w:r>
        <w:rPr>
          <w:color w:val="auto"/>
          <w:sz w:val="24"/>
          <w:highlight w:val="none"/>
        </w:rPr>
        <w:t>对竞争性磋商文件的澄清或修改</w:t>
      </w:r>
    </w:p>
    <w:p w14:paraId="603B35D6">
      <w:pPr>
        <w:numPr>
          <w:ilvl w:val="1"/>
          <w:numId w:val="8"/>
        </w:numPr>
        <w:tabs>
          <w:tab w:val="left" w:pos="1080"/>
          <w:tab w:val="left" w:pos="1561"/>
          <w:tab w:val="left" w:pos="2014"/>
        </w:tabs>
        <w:spacing w:line="360" w:lineRule="auto"/>
        <w:ind w:left="1080" w:hanging="720"/>
        <w:rPr>
          <w:color w:val="auto"/>
          <w:sz w:val="24"/>
          <w:highlight w:val="none"/>
        </w:rPr>
      </w:pPr>
      <w:r>
        <w:rPr>
          <w:color w:val="auto"/>
          <w:sz w:val="24"/>
          <w:highlight w:val="none"/>
        </w:rPr>
        <w:t>采购人或采购代理机构对已发出的竞争性磋商文件进行必要澄清或者修改的，将在原公告发布媒体上以</w:t>
      </w:r>
      <w:r>
        <w:rPr>
          <w:rFonts w:hint="eastAsia"/>
          <w:color w:val="auto"/>
          <w:sz w:val="24"/>
          <w:highlight w:val="none"/>
        </w:rPr>
        <w:t>发布</w:t>
      </w:r>
      <w:r>
        <w:rPr>
          <w:color w:val="auto"/>
          <w:sz w:val="24"/>
          <w:highlight w:val="none"/>
        </w:rPr>
        <w:t>更正公告</w:t>
      </w:r>
      <w:r>
        <w:rPr>
          <w:rFonts w:hint="eastAsia"/>
          <w:color w:val="auto"/>
          <w:sz w:val="24"/>
          <w:highlight w:val="none"/>
        </w:rPr>
        <w:t>的</w:t>
      </w:r>
      <w:r>
        <w:rPr>
          <w:color w:val="auto"/>
          <w:sz w:val="24"/>
          <w:highlight w:val="none"/>
        </w:rPr>
        <w:t>形式通知所有获取</w:t>
      </w:r>
      <w:r>
        <w:rPr>
          <w:rFonts w:hint="eastAsia"/>
          <w:color w:val="auto"/>
          <w:sz w:val="24"/>
          <w:highlight w:val="none"/>
        </w:rPr>
        <w:t>磋商文件</w:t>
      </w:r>
      <w:r>
        <w:rPr>
          <w:color w:val="auto"/>
          <w:sz w:val="24"/>
          <w:highlight w:val="none"/>
        </w:rPr>
        <w:t>的</w:t>
      </w:r>
      <w:r>
        <w:rPr>
          <w:rFonts w:hint="eastAsia"/>
          <w:color w:val="auto"/>
          <w:sz w:val="24"/>
          <w:highlight w:val="none"/>
        </w:rPr>
        <w:t>供应商。</w:t>
      </w:r>
    </w:p>
    <w:p w14:paraId="4B667416">
      <w:pPr>
        <w:numPr>
          <w:ilvl w:val="1"/>
          <w:numId w:val="8"/>
        </w:numPr>
        <w:tabs>
          <w:tab w:val="left" w:pos="1080"/>
          <w:tab w:val="left" w:pos="1561"/>
          <w:tab w:val="left" w:pos="2014"/>
        </w:tabs>
        <w:spacing w:line="360" w:lineRule="auto"/>
        <w:ind w:left="1080" w:hanging="720"/>
        <w:rPr>
          <w:color w:val="auto"/>
          <w:sz w:val="28"/>
          <w:highlight w:val="none"/>
        </w:rPr>
      </w:pPr>
      <w:r>
        <w:rPr>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color w:val="auto"/>
          <w:sz w:val="24"/>
          <w:highlight w:val="none"/>
        </w:rPr>
        <w:t>5</w:t>
      </w:r>
      <w:r>
        <w:rPr>
          <w:color w:val="auto"/>
          <w:sz w:val="24"/>
          <w:highlight w:val="none"/>
        </w:rPr>
        <w:t>日前</w:t>
      </w:r>
      <w:r>
        <w:rPr>
          <w:rFonts w:hint="eastAsia"/>
          <w:color w:val="auto"/>
          <w:sz w:val="24"/>
          <w:highlight w:val="none"/>
        </w:rPr>
        <w:t>，</w:t>
      </w:r>
      <w:r>
        <w:rPr>
          <w:color w:val="auto"/>
          <w:sz w:val="24"/>
          <w:highlight w:val="none"/>
        </w:rPr>
        <w:t>以更正公告形式通知所有获取</w:t>
      </w:r>
      <w:r>
        <w:rPr>
          <w:rFonts w:hint="eastAsia"/>
          <w:color w:val="auto"/>
          <w:sz w:val="24"/>
          <w:highlight w:val="none"/>
        </w:rPr>
        <w:t>磋商</w:t>
      </w:r>
      <w:r>
        <w:rPr>
          <w:color w:val="auto"/>
          <w:sz w:val="24"/>
          <w:highlight w:val="none"/>
        </w:rPr>
        <w:t>文件的潜在供应商；不足上述时间的，将顺延提交响应文件的截止时间。</w:t>
      </w:r>
      <w:bookmarkStart w:id="141" w:name="_Toc516367020"/>
      <w:bookmarkStart w:id="142" w:name="_Toc151193914"/>
      <w:bookmarkStart w:id="143" w:name="_Toc305158794"/>
      <w:bookmarkStart w:id="144" w:name="_Toc226309770"/>
      <w:bookmarkStart w:id="145" w:name="_Toc151193624"/>
      <w:bookmarkStart w:id="146" w:name="_Toc150509277"/>
      <w:bookmarkStart w:id="147" w:name="_Toc195842891"/>
      <w:bookmarkStart w:id="148" w:name="_Toc127151526"/>
      <w:bookmarkStart w:id="149" w:name="_Toc520356150"/>
      <w:bookmarkStart w:id="150" w:name="_Toc226965716"/>
      <w:bookmarkStart w:id="151" w:name="_Toc151193768"/>
      <w:bookmarkStart w:id="152" w:name="_Toc265228364"/>
      <w:bookmarkStart w:id="153" w:name="_Toc264969216"/>
      <w:bookmarkStart w:id="154" w:name="_Toc150774731"/>
      <w:bookmarkStart w:id="155" w:name="_Toc150774626"/>
      <w:bookmarkStart w:id="156" w:name="_Toc151193840"/>
      <w:bookmarkStart w:id="157" w:name="_Toc150480764"/>
      <w:bookmarkStart w:id="158" w:name="_Toc226337222"/>
      <w:bookmarkStart w:id="159" w:name="_Toc305158868"/>
      <w:bookmarkStart w:id="160" w:name="_Toc226965799"/>
      <w:bookmarkStart w:id="161" w:name="_Toc142311028"/>
      <w:bookmarkStart w:id="162" w:name="_Toc151193696"/>
      <w:bookmarkStart w:id="163" w:name="_Toc151190153"/>
    </w:p>
    <w:p w14:paraId="01D2EB7C">
      <w:pPr>
        <w:pStyle w:val="239"/>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响应文件</w:t>
      </w:r>
      <w:bookmarkEnd w:id="141"/>
      <w:r>
        <w:rPr>
          <w:rFonts w:ascii="Times New Roman" w:hAnsi="Times New Roman" w:eastAsia="宋体"/>
          <w:color w:val="auto"/>
          <w:sz w:val="28"/>
          <w:highlight w:val="none"/>
        </w:rPr>
        <w:t>的编制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7F48105">
      <w:pPr>
        <w:numPr>
          <w:ilvl w:val="0"/>
          <w:numId w:val="8"/>
        </w:numPr>
        <w:tabs>
          <w:tab w:val="left" w:pos="360"/>
        </w:tabs>
        <w:spacing w:line="360" w:lineRule="auto"/>
        <w:ind w:left="357" w:hanging="357"/>
        <w:outlineLvl w:val="1"/>
        <w:rPr>
          <w:color w:val="auto"/>
          <w:sz w:val="24"/>
          <w:highlight w:val="none"/>
        </w:rPr>
      </w:pPr>
      <w:bookmarkStart w:id="164" w:name="_Toc164229368"/>
      <w:bookmarkStart w:id="165" w:name="_Toc265228365"/>
      <w:bookmarkStart w:id="166" w:name="_Toc164608796"/>
      <w:bookmarkStart w:id="167" w:name="_Toc226309771"/>
      <w:bookmarkStart w:id="168" w:name="_Toc226965717"/>
      <w:bookmarkStart w:id="169" w:name="_Toc127151728"/>
      <w:bookmarkStart w:id="170" w:name="_Toc164229222"/>
      <w:bookmarkStart w:id="171" w:name="_Toc127151527"/>
      <w:bookmarkStart w:id="172" w:name="_Toc520356151"/>
      <w:bookmarkStart w:id="173" w:name="_Toc151193625"/>
      <w:bookmarkStart w:id="174" w:name="_Toc164608641"/>
      <w:bookmarkStart w:id="175" w:name="_Toc151190154"/>
      <w:bookmarkStart w:id="176" w:name="_Toc305158795"/>
      <w:bookmarkStart w:id="177" w:name="_Toc151193697"/>
      <w:bookmarkStart w:id="178" w:name="_Toc149720820"/>
      <w:bookmarkStart w:id="179" w:name="_Toc195842892"/>
      <w:bookmarkStart w:id="180" w:name="_Toc264969217"/>
      <w:bookmarkStart w:id="181" w:name="_Toc150480765"/>
      <w:bookmarkStart w:id="182" w:name="_Toc226337223"/>
      <w:bookmarkStart w:id="183" w:name="_Toc151193841"/>
      <w:bookmarkStart w:id="184" w:name="_Toc164351621"/>
      <w:bookmarkStart w:id="185" w:name="_Toc150774627"/>
      <w:bookmarkStart w:id="186" w:name="_Toc151193915"/>
      <w:bookmarkStart w:id="187" w:name="_Toc150509278"/>
      <w:bookmarkStart w:id="188" w:name="_Toc151193769"/>
      <w:bookmarkStart w:id="189" w:name="_Toc516367021"/>
      <w:bookmarkStart w:id="190" w:name="_Toc142311029"/>
      <w:bookmarkStart w:id="191" w:name="_Toc305158869"/>
      <w:bookmarkStart w:id="192" w:name="_Toc150774732"/>
      <w:bookmarkStart w:id="193" w:name="_Toc127161441"/>
      <w:bookmarkStart w:id="194" w:name="_Toc226965800"/>
      <w:r>
        <w:rPr>
          <w:color w:val="auto"/>
          <w:sz w:val="24"/>
          <w:highlight w:val="none"/>
        </w:rPr>
        <w:t>响应范围、竞争性磋商文件中计量单位的使用</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color w:val="auto"/>
          <w:sz w:val="24"/>
          <w:highlight w:val="none"/>
        </w:rPr>
        <w:t>及磋商语言</w:t>
      </w:r>
    </w:p>
    <w:p w14:paraId="6E6ADDCB">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color w:val="auto"/>
          <w:sz w:val="24"/>
          <w:highlight w:val="none"/>
        </w:rPr>
        <w:t>响应无效</w:t>
      </w:r>
      <w:r>
        <w:rPr>
          <w:color w:val="auto"/>
          <w:sz w:val="24"/>
          <w:highlight w:val="none"/>
        </w:rPr>
        <w:t>。</w:t>
      </w:r>
    </w:p>
    <w:p w14:paraId="0709B4B1">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除竞争性磋商文件有特殊要求外，本项目磋商所使用的计量单位，应采用中华人民共和国法定计量单位。</w:t>
      </w:r>
    </w:p>
    <w:p w14:paraId="63D9E16E">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B6DFAC8">
      <w:pPr>
        <w:numPr>
          <w:ilvl w:val="0"/>
          <w:numId w:val="8"/>
        </w:numPr>
        <w:tabs>
          <w:tab w:val="left" w:pos="360"/>
        </w:tabs>
        <w:spacing w:line="360" w:lineRule="auto"/>
        <w:ind w:left="357" w:hanging="357"/>
        <w:outlineLvl w:val="1"/>
        <w:rPr>
          <w:color w:val="auto"/>
          <w:sz w:val="24"/>
          <w:highlight w:val="none"/>
        </w:rPr>
      </w:pPr>
      <w:bookmarkStart w:id="195" w:name="_Ref467306676"/>
      <w:bookmarkStart w:id="196" w:name="_Ref467306195"/>
      <w:bookmarkStart w:id="197" w:name="_Toc516367022"/>
      <w:bookmarkStart w:id="198" w:name="_Toc264969218"/>
      <w:bookmarkStart w:id="199" w:name="_Toc151193698"/>
      <w:bookmarkStart w:id="200" w:name="_Toc150509279"/>
      <w:bookmarkStart w:id="201" w:name="_Toc305158870"/>
      <w:bookmarkStart w:id="202" w:name="_Toc151193626"/>
      <w:bookmarkStart w:id="203" w:name="_Toc226309772"/>
      <w:bookmarkStart w:id="204" w:name="_Toc164608797"/>
      <w:bookmarkStart w:id="205" w:name="_Toc149720821"/>
      <w:bookmarkStart w:id="206" w:name="_Toc150480766"/>
      <w:bookmarkStart w:id="207" w:name="_Toc520356152"/>
      <w:bookmarkStart w:id="208" w:name="_Toc151190155"/>
      <w:bookmarkStart w:id="209" w:name="_Toc151193916"/>
      <w:bookmarkStart w:id="210" w:name="_Toc305158796"/>
      <w:bookmarkStart w:id="211" w:name="_Toc151193770"/>
      <w:bookmarkStart w:id="212" w:name="_Toc164229223"/>
      <w:bookmarkStart w:id="213" w:name="_Toc127151729"/>
      <w:bookmarkStart w:id="214" w:name="_Toc195842893"/>
      <w:bookmarkStart w:id="215" w:name="_Toc151193842"/>
      <w:bookmarkStart w:id="216" w:name="_Toc142311030"/>
      <w:bookmarkStart w:id="217" w:name="_Toc150774733"/>
      <w:bookmarkStart w:id="218" w:name="_Toc226965718"/>
      <w:bookmarkStart w:id="219" w:name="_Toc127151528"/>
      <w:bookmarkStart w:id="220" w:name="_Toc164351622"/>
      <w:bookmarkStart w:id="221" w:name="_Toc226965801"/>
      <w:bookmarkStart w:id="222" w:name="_Toc226337224"/>
      <w:bookmarkStart w:id="223" w:name="_Toc164608642"/>
      <w:bookmarkStart w:id="224" w:name="_Toc164229369"/>
      <w:bookmarkStart w:id="225" w:name="_Toc265228366"/>
      <w:bookmarkStart w:id="226" w:name="_Toc127161442"/>
      <w:bookmarkStart w:id="227" w:name="_Toc150774628"/>
      <w:r>
        <w:rPr>
          <w:color w:val="auto"/>
          <w:sz w:val="24"/>
          <w:highlight w:val="none"/>
        </w:rPr>
        <w:t>响应文件</w:t>
      </w:r>
      <w:bookmarkEnd w:id="195"/>
      <w:bookmarkEnd w:id="196"/>
      <w:bookmarkEnd w:id="197"/>
      <w:r>
        <w:rPr>
          <w:color w:val="auto"/>
          <w:sz w:val="24"/>
          <w:highlight w:val="none"/>
        </w:rPr>
        <w:t>构成</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5581C3E0">
      <w:pPr>
        <w:numPr>
          <w:ilvl w:val="1"/>
          <w:numId w:val="8"/>
        </w:numPr>
        <w:tabs>
          <w:tab w:val="left" w:pos="1080"/>
          <w:tab w:val="left" w:pos="2014"/>
        </w:tabs>
        <w:spacing w:line="360" w:lineRule="auto"/>
        <w:ind w:left="1077" w:hanging="720"/>
        <w:rPr>
          <w:color w:val="auto"/>
          <w:sz w:val="24"/>
          <w:highlight w:val="none"/>
        </w:rPr>
      </w:pPr>
      <w:bookmarkStart w:id="228" w:name="_Ref467052588"/>
      <w:r>
        <w:rPr>
          <w:color w:val="auto"/>
          <w:sz w:val="24"/>
          <w:highlight w:val="none"/>
        </w:rPr>
        <w:t>供应商应当按照竞争性磋商文件的要求编制响应文件，并对其提交的响应文件的真实性、合法性承担法律责任。响应文件的部分格式要求，见第六章《响应文件格式》。</w:t>
      </w:r>
    </w:p>
    <w:p w14:paraId="53637556">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color w:val="auto"/>
          <w:sz w:val="24"/>
          <w:highlight w:val="none"/>
        </w:rPr>
        <w:t>否则响应无效</w:t>
      </w:r>
      <w:r>
        <w:rPr>
          <w:color w:val="auto"/>
          <w:sz w:val="24"/>
          <w:highlight w:val="none"/>
        </w:rPr>
        <w:t>。未标记“实质性格式”的文件和竞争性磋商文件未提供格式的内容，可由供应商自行编写。</w:t>
      </w:r>
    </w:p>
    <w:p w14:paraId="124FFA0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第三章《评审方法和评审标准》中涉及的证明文件。</w:t>
      </w:r>
    </w:p>
    <w:p w14:paraId="2E4BA2F3">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6604CA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供应商认为应附的其他材料。</w:t>
      </w:r>
      <w:bookmarkEnd w:id="228"/>
    </w:p>
    <w:p w14:paraId="5EBF655A">
      <w:pPr>
        <w:numPr>
          <w:ilvl w:val="0"/>
          <w:numId w:val="8"/>
        </w:numPr>
        <w:tabs>
          <w:tab w:val="left" w:pos="360"/>
        </w:tabs>
        <w:spacing w:line="360" w:lineRule="auto"/>
        <w:ind w:left="357" w:hanging="357"/>
        <w:outlineLvl w:val="1"/>
        <w:rPr>
          <w:color w:val="auto"/>
          <w:sz w:val="24"/>
          <w:highlight w:val="none"/>
        </w:rPr>
      </w:pPr>
      <w:bookmarkStart w:id="229" w:name="_Toc164608644"/>
      <w:bookmarkStart w:id="230" w:name="_Toc151193700"/>
      <w:bookmarkStart w:id="231" w:name="_Toc151193844"/>
      <w:bookmarkStart w:id="232" w:name="_Toc150509281"/>
      <w:bookmarkStart w:id="233" w:name="_Toc127161444"/>
      <w:bookmarkStart w:id="234" w:name="_Toc150480768"/>
      <w:bookmarkStart w:id="235" w:name="_Toc142311032"/>
      <w:bookmarkStart w:id="236" w:name="_Toc150774630"/>
      <w:bookmarkStart w:id="237" w:name="_Toc127151731"/>
      <w:bookmarkStart w:id="238" w:name="_Toc520356155"/>
      <w:bookmarkStart w:id="239" w:name="_Toc151193628"/>
      <w:bookmarkStart w:id="240" w:name="_Toc164229225"/>
      <w:bookmarkStart w:id="241" w:name="_Toc151190157"/>
      <w:bookmarkStart w:id="242" w:name="_Toc151193772"/>
      <w:bookmarkStart w:id="243" w:name="_Toc150774735"/>
      <w:bookmarkStart w:id="244" w:name="_Toc164351624"/>
      <w:bookmarkStart w:id="245" w:name="_Toc164608799"/>
      <w:bookmarkStart w:id="246" w:name="_Toc195842895"/>
      <w:bookmarkStart w:id="247" w:name="_Toc164229371"/>
      <w:bookmarkStart w:id="248" w:name="_Toc149720823"/>
      <w:bookmarkStart w:id="249" w:name="_Toc127151530"/>
      <w:bookmarkStart w:id="250" w:name="_Toc151193918"/>
      <w:r>
        <w:rPr>
          <w:color w:val="auto"/>
          <w:sz w:val="24"/>
          <w:highlight w:val="none"/>
        </w:rPr>
        <w:t>报价</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69857DFA">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所有响应均以人民币报价。</w:t>
      </w:r>
    </w:p>
    <w:p w14:paraId="39700180">
      <w:pPr>
        <w:numPr>
          <w:ilvl w:val="1"/>
          <w:numId w:val="8"/>
        </w:numPr>
        <w:tabs>
          <w:tab w:val="left" w:pos="1080"/>
        </w:tabs>
        <w:spacing w:line="360" w:lineRule="auto"/>
        <w:rPr>
          <w:color w:val="auto"/>
          <w:sz w:val="24"/>
          <w:highlight w:val="none"/>
        </w:rPr>
      </w:pPr>
      <w:r>
        <w:rPr>
          <w:color w:val="auto"/>
          <w:sz w:val="24"/>
          <w:highlight w:val="none"/>
        </w:rPr>
        <w:t>供应商的报价应包括为完成本项目所发生的一切费用和税费，采购人将不再支付报价以外的任何费用。</w:t>
      </w:r>
      <w:r>
        <w:rPr>
          <w:rFonts w:hint="eastAsia"/>
          <w:color w:val="auto"/>
          <w:sz w:val="24"/>
          <w:highlight w:val="none"/>
        </w:rPr>
        <w:t>供应商的报价应包括但不限于下列内容，《供应商须知资料表》中有特殊规定的，从其规定。</w:t>
      </w:r>
    </w:p>
    <w:p w14:paraId="55D4AEFB">
      <w:pPr>
        <w:numPr>
          <w:ilvl w:val="2"/>
          <w:numId w:val="8"/>
        </w:num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w:t>
      </w:r>
      <w:r>
        <w:rPr>
          <w:rFonts w:hint="default" w:ascii="Times New Roman" w:hAnsi="Times New Roman" w:eastAsia="宋体" w:cs="Times New Roman"/>
          <w:color w:val="auto"/>
          <w:sz w:val="24"/>
          <w:szCs w:val="24"/>
          <w:highlight w:val="none"/>
        </w:rPr>
        <w:t>报价为</w:t>
      </w:r>
      <w:r>
        <w:rPr>
          <w:rFonts w:hint="eastAsia" w:cs="Times New Roman"/>
          <w:b w:val="0"/>
          <w:bCs w:val="0"/>
          <w:color w:val="auto"/>
          <w:sz w:val="24"/>
          <w:szCs w:val="24"/>
          <w:highlight w:val="none"/>
          <w:lang w:val="en-US" w:eastAsia="zh-CN"/>
        </w:rPr>
        <w:t>含税报价</w:t>
      </w:r>
      <w:r>
        <w:rPr>
          <w:rFonts w:hint="default" w:ascii="Times New Roman" w:hAnsi="Times New Roman" w:eastAsia="宋体" w:cs="Times New Roman"/>
          <w:color w:val="auto"/>
          <w:sz w:val="24"/>
          <w:szCs w:val="24"/>
          <w:highlight w:val="none"/>
        </w:rPr>
        <w:t>，磋商报价应包括竟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r>
        <w:rPr>
          <w:rFonts w:hint="default" w:ascii="Times New Roman" w:hAnsi="Times New Roman" w:eastAsia="宋体" w:cs="Times New Roman"/>
          <w:color w:val="auto"/>
          <w:sz w:val="24"/>
          <w:highlight w:val="none"/>
        </w:rPr>
        <w:t>除非合同条款中另有规定，否则，供应商所报价格在合同响应、实施期间不因市场变化因素而变动。</w:t>
      </w:r>
    </w:p>
    <w:p w14:paraId="072992A1">
      <w:pPr>
        <w:numPr>
          <w:ilvl w:val="2"/>
          <w:numId w:val="8"/>
        </w:numPr>
        <w:spacing w:line="360" w:lineRule="auto"/>
        <w:rPr>
          <w:color w:val="auto"/>
          <w:sz w:val="24"/>
          <w:highlight w:val="none"/>
        </w:rPr>
      </w:pPr>
      <w:r>
        <w:rPr>
          <w:color w:val="auto"/>
          <w:sz w:val="24"/>
          <w:highlight w:val="none"/>
        </w:rPr>
        <w:t>按照竞争性磋商文件要求完成本项</w:t>
      </w:r>
      <w:r>
        <w:rPr>
          <w:rFonts w:hint="eastAsia"/>
          <w:color w:val="auto"/>
          <w:sz w:val="24"/>
          <w:highlight w:val="none"/>
        </w:rPr>
        <w:t>目的全部相关内容或服务费用。</w:t>
      </w:r>
    </w:p>
    <w:p w14:paraId="543CD9D4">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采购人不得向供应商索要或者接受其给予的赠品、回扣或者与采购无关的其他商品、服务。</w:t>
      </w:r>
    </w:p>
    <w:p w14:paraId="288C205C">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供应商不能提供任何有选择性或可调整的最终报价（竞争性磋商文件另有规定的除外），否则其</w:t>
      </w:r>
      <w:r>
        <w:rPr>
          <w:b/>
          <w:color w:val="auto"/>
          <w:sz w:val="24"/>
          <w:highlight w:val="none"/>
        </w:rPr>
        <w:t>响应无效</w:t>
      </w:r>
      <w:r>
        <w:rPr>
          <w:color w:val="auto"/>
          <w:sz w:val="24"/>
          <w:highlight w:val="none"/>
        </w:rPr>
        <w:t>。</w:t>
      </w:r>
    </w:p>
    <w:p w14:paraId="68D298BB">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磋商保证金</w:t>
      </w:r>
    </w:p>
    <w:p w14:paraId="21D1552B">
      <w:pPr>
        <w:tabs>
          <w:tab w:val="left" w:pos="360"/>
        </w:tabs>
        <w:spacing w:line="360" w:lineRule="auto"/>
        <w:ind w:firstLine="360"/>
        <w:outlineLvl w:val="1"/>
        <w:rPr>
          <w:color w:val="auto"/>
          <w:sz w:val="24"/>
          <w:highlight w:val="none"/>
        </w:rPr>
      </w:pPr>
      <w:r>
        <w:rPr>
          <w:rFonts w:hint="eastAsia"/>
          <w:color w:val="auto"/>
          <w:sz w:val="24"/>
          <w:highlight w:val="none"/>
        </w:rPr>
        <w:t>根据江苏省和常州市的相关文件规定，免收保证金。</w:t>
      </w:r>
    </w:p>
    <w:p w14:paraId="5E2B44FD">
      <w:pPr>
        <w:numPr>
          <w:ilvl w:val="0"/>
          <w:numId w:val="8"/>
        </w:numPr>
        <w:tabs>
          <w:tab w:val="left" w:pos="360"/>
        </w:tabs>
        <w:spacing w:line="360" w:lineRule="auto"/>
        <w:ind w:left="357" w:hanging="357"/>
        <w:outlineLvl w:val="1"/>
        <w:rPr>
          <w:color w:val="auto"/>
          <w:sz w:val="24"/>
          <w:highlight w:val="none"/>
        </w:rPr>
      </w:pPr>
      <w:r>
        <w:rPr>
          <w:color w:val="auto"/>
          <w:sz w:val="24"/>
          <w:highlight w:val="none"/>
        </w:rPr>
        <w:t>响应有效期</w:t>
      </w:r>
    </w:p>
    <w:p w14:paraId="5ED1320C">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响应文件应在本竞争性磋商文件《供应商须知资料表》中规定的响应有效期内保持有效，响应有效期少于竞争性磋商文件规定期限的，其</w:t>
      </w:r>
      <w:r>
        <w:rPr>
          <w:b/>
          <w:color w:val="auto"/>
          <w:sz w:val="24"/>
          <w:highlight w:val="none"/>
        </w:rPr>
        <w:t>响应无效</w:t>
      </w:r>
      <w:r>
        <w:rPr>
          <w:color w:val="auto"/>
          <w:sz w:val="24"/>
          <w:highlight w:val="none"/>
        </w:rPr>
        <w:t>。</w:t>
      </w:r>
    </w:p>
    <w:p w14:paraId="7AF1E95D">
      <w:pPr>
        <w:numPr>
          <w:ilvl w:val="0"/>
          <w:numId w:val="8"/>
        </w:numPr>
        <w:tabs>
          <w:tab w:val="left" w:pos="360"/>
        </w:tabs>
        <w:spacing w:line="360" w:lineRule="auto"/>
        <w:ind w:left="357" w:hanging="357"/>
        <w:outlineLvl w:val="1"/>
        <w:rPr>
          <w:color w:val="auto"/>
          <w:sz w:val="24"/>
          <w:highlight w:val="none"/>
        </w:rPr>
      </w:pPr>
      <w:bookmarkStart w:id="251" w:name="_Toc226965806"/>
      <w:bookmarkStart w:id="252" w:name="_Toc195842898"/>
      <w:bookmarkStart w:id="253" w:name="_Toc151193703"/>
      <w:bookmarkStart w:id="254" w:name="_Toc151193775"/>
      <w:bookmarkStart w:id="255" w:name="_Toc127151533"/>
      <w:bookmarkStart w:id="256" w:name="_Toc150774633"/>
      <w:bookmarkStart w:id="257" w:name="_Toc226309777"/>
      <w:bookmarkStart w:id="258" w:name="_Toc142311035"/>
      <w:bookmarkStart w:id="259" w:name="_Toc127161447"/>
      <w:bookmarkStart w:id="260" w:name="_Toc151190160"/>
      <w:bookmarkStart w:id="261" w:name="_Toc164351627"/>
      <w:bookmarkStart w:id="262" w:name="_Toc150774738"/>
      <w:bookmarkStart w:id="263" w:name="_Toc151193921"/>
      <w:bookmarkStart w:id="264" w:name="_Toc305158801"/>
      <w:bookmarkStart w:id="265" w:name="_Toc520356158"/>
      <w:bookmarkStart w:id="266" w:name="_Toc150509284"/>
      <w:bookmarkStart w:id="267" w:name="_Toc164608802"/>
      <w:bookmarkStart w:id="268" w:name="_Toc151193631"/>
      <w:bookmarkStart w:id="269" w:name="_Toc305158875"/>
      <w:bookmarkStart w:id="270" w:name="_Toc164608647"/>
      <w:bookmarkStart w:id="271" w:name="_Toc164229228"/>
      <w:bookmarkStart w:id="272" w:name="_Toc265228371"/>
      <w:bookmarkStart w:id="273" w:name="_Toc264969223"/>
      <w:bookmarkStart w:id="274" w:name="_Toc149720826"/>
      <w:bookmarkStart w:id="275" w:name="_Toc226337229"/>
      <w:bookmarkStart w:id="276" w:name="_Toc127151734"/>
      <w:bookmarkStart w:id="277" w:name="_Toc151193847"/>
      <w:bookmarkStart w:id="278" w:name="_Toc164229374"/>
      <w:bookmarkStart w:id="279" w:name="_Toc226965723"/>
      <w:bookmarkStart w:id="280" w:name="_Toc150480771"/>
      <w:r>
        <w:rPr>
          <w:color w:val="auto"/>
          <w:sz w:val="24"/>
          <w:highlight w:val="none"/>
        </w:rPr>
        <w:t>响应文件的</w:t>
      </w:r>
      <w:r>
        <w:rPr>
          <w:rFonts w:hint="eastAsia"/>
          <w:color w:val="auto"/>
          <w:sz w:val="24"/>
          <w:highlight w:val="none"/>
        </w:rPr>
        <w:t>份数、</w:t>
      </w:r>
      <w:r>
        <w:rPr>
          <w:color w:val="auto"/>
          <w:sz w:val="24"/>
          <w:highlight w:val="none"/>
        </w:rPr>
        <w:t>签署</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000E263C">
      <w:pPr>
        <w:tabs>
          <w:tab w:val="left" w:pos="1080"/>
        </w:tabs>
        <w:spacing w:line="360" w:lineRule="auto"/>
        <w:ind w:left="568"/>
        <w:rPr>
          <w:color w:val="auto"/>
          <w:sz w:val="24"/>
          <w:highlight w:val="none"/>
        </w:rPr>
      </w:pPr>
      <w:bookmarkStart w:id="281" w:name="_Toc226965724"/>
      <w:bookmarkStart w:id="282" w:name="_Toc520356159"/>
      <w:bookmarkStart w:id="283" w:name="_Toc151193776"/>
      <w:bookmarkStart w:id="284" w:name="_Toc226965807"/>
      <w:bookmarkStart w:id="285" w:name="_Toc142311036"/>
      <w:bookmarkStart w:id="286" w:name="_Toc305158802"/>
      <w:bookmarkStart w:id="287" w:name="_Toc150774634"/>
      <w:bookmarkStart w:id="288" w:name="_Toc151193848"/>
      <w:bookmarkStart w:id="289" w:name="_Toc226337230"/>
      <w:bookmarkStart w:id="290" w:name="_Toc151193922"/>
      <w:bookmarkStart w:id="291" w:name="_Toc195842899"/>
      <w:bookmarkStart w:id="292" w:name="_Toc150480772"/>
      <w:bookmarkStart w:id="293" w:name="_Toc150509285"/>
      <w:bookmarkStart w:id="294" w:name="_Toc265228372"/>
      <w:bookmarkStart w:id="295" w:name="_Toc226309778"/>
      <w:bookmarkStart w:id="296" w:name="_Toc151193704"/>
      <w:bookmarkStart w:id="297" w:name="_Toc127151534"/>
      <w:bookmarkStart w:id="298" w:name="_Toc151190161"/>
      <w:bookmarkStart w:id="299" w:name="_Toc150774739"/>
      <w:bookmarkStart w:id="300" w:name="_Toc305158876"/>
      <w:bookmarkStart w:id="301" w:name="_Toc151193632"/>
      <w:bookmarkStart w:id="302" w:name="_Toc264969224"/>
      <w:r>
        <w:rPr>
          <w:color w:val="auto"/>
          <w:sz w:val="24"/>
          <w:highlight w:val="none"/>
        </w:rPr>
        <w:t>竞争性磋商文件要求签字的内容（如授权委托书等），</w:t>
      </w:r>
      <w:r>
        <w:rPr>
          <w:rFonts w:hint="eastAsia"/>
          <w:color w:val="auto"/>
          <w:sz w:val="24"/>
          <w:highlight w:val="none"/>
        </w:rPr>
        <w:t>可以使用电子签章或使用原件的电子件（电子件指扫描件、照片等形式电子文件）；要求</w:t>
      </w:r>
      <w:r>
        <w:rPr>
          <w:color w:val="auto"/>
          <w:sz w:val="24"/>
          <w:highlight w:val="none"/>
        </w:rPr>
        <w:t>第三方出具的盖章件原件（如联合协议、分包意向协议、制造商授权书原件等），响应文件中应使用原件的电子件。</w:t>
      </w:r>
    </w:p>
    <w:p w14:paraId="0C77D5E1">
      <w:pPr>
        <w:tabs>
          <w:tab w:val="left" w:pos="900"/>
          <w:tab w:val="left" w:pos="1080"/>
        </w:tabs>
        <w:spacing w:line="360" w:lineRule="auto"/>
        <w:ind w:left="357"/>
        <w:rPr>
          <w:color w:val="auto"/>
          <w:highlight w:val="none"/>
        </w:rPr>
      </w:pPr>
      <w:r>
        <w:rPr>
          <w:color w:val="auto"/>
          <w:sz w:val="24"/>
          <w:highlight w:val="none"/>
        </w:rPr>
        <w:t>竞争性磋商文件要求盖章的内容，</w:t>
      </w:r>
      <w:r>
        <w:rPr>
          <w:rFonts w:hint="eastAsia"/>
          <w:color w:val="auto"/>
          <w:sz w:val="24"/>
          <w:highlight w:val="none"/>
        </w:rPr>
        <w:t>一般</w:t>
      </w:r>
      <w:r>
        <w:rPr>
          <w:color w:val="auto"/>
          <w:sz w:val="24"/>
          <w:highlight w:val="none"/>
        </w:rPr>
        <w:t>通过</w:t>
      </w:r>
      <w:r>
        <w:rPr>
          <w:rFonts w:hint="eastAsia"/>
          <w:color w:val="auto"/>
          <w:sz w:val="24"/>
          <w:highlight w:val="none"/>
        </w:rPr>
        <w:t>响应文件</w:t>
      </w:r>
      <w:r>
        <w:rPr>
          <w:color w:val="auto"/>
          <w:sz w:val="24"/>
          <w:highlight w:val="none"/>
        </w:rPr>
        <w:t>编制工具加盖电子签章。</w:t>
      </w:r>
    </w:p>
    <w:p w14:paraId="4C45195D">
      <w:pPr>
        <w:pStyle w:val="239"/>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响应文件的提交</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6B3752C">
      <w:pPr>
        <w:numPr>
          <w:ilvl w:val="0"/>
          <w:numId w:val="8"/>
        </w:numPr>
        <w:tabs>
          <w:tab w:val="left" w:pos="360"/>
        </w:tabs>
        <w:spacing w:line="360" w:lineRule="auto"/>
        <w:ind w:left="357" w:hanging="357"/>
        <w:outlineLvl w:val="1"/>
        <w:rPr>
          <w:color w:val="auto"/>
          <w:sz w:val="24"/>
          <w:highlight w:val="none"/>
        </w:rPr>
      </w:pPr>
      <w:bookmarkStart w:id="303" w:name="_Toc513029225"/>
      <w:bookmarkStart w:id="304" w:name="_Toc16938541"/>
      <w:bookmarkStart w:id="305" w:name="_Toc462564084"/>
      <w:bookmarkStart w:id="306" w:name="_Toc20823297"/>
      <w:r>
        <w:rPr>
          <w:color w:val="auto"/>
          <w:sz w:val="24"/>
          <w:highlight w:val="none"/>
        </w:rPr>
        <w:t>响应文件的密封和标记</w:t>
      </w:r>
      <w:bookmarkEnd w:id="303"/>
      <w:bookmarkEnd w:id="304"/>
      <w:bookmarkEnd w:id="305"/>
      <w:bookmarkEnd w:id="306"/>
    </w:p>
    <w:p w14:paraId="3A256A82">
      <w:pPr>
        <w:numPr>
          <w:ilvl w:val="1"/>
          <w:numId w:val="8"/>
        </w:numPr>
        <w:tabs>
          <w:tab w:val="left" w:pos="1080"/>
          <w:tab w:val="left" w:pos="2014"/>
        </w:tabs>
        <w:spacing w:line="360" w:lineRule="auto"/>
        <w:ind w:left="1077" w:hanging="720"/>
        <w:rPr>
          <w:color w:val="auto"/>
          <w:sz w:val="24"/>
          <w:highlight w:val="none"/>
        </w:rPr>
      </w:pPr>
      <w:bookmarkStart w:id="307" w:name="_Toc20823298"/>
      <w:bookmarkStart w:id="308" w:name="_Toc513029226"/>
      <w:bookmarkStart w:id="309" w:name="_Toc16938542"/>
      <w:r>
        <w:rPr>
          <w:color w:val="auto"/>
          <w:sz w:val="24"/>
          <w:highlight w:val="none"/>
        </w:rPr>
        <w:t>本项目使用</w:t>
      </w:r>
      <w:r>
        <w:rPr>
          <w:rFonts w:hint="eastAsia"/>
          <w:color w:val="auto"/>
          <w:sz w:val="24"/>
          <w:highlight w:val="none"/>
        </w:rPr>
        <w:t>政府采购一体化平台“苏采云”</w:t>
      </w:r>
      <w:r>
        <w:rPr>
          <w:color w:val="auto"/>
          <w:sz w:val="24"/>
          <w:highlight w:val="none"/>
        </w:rPr>
        <w:t>。供应商根据竞争性磋商文件及</w:t>
      </w:r>
      <w:r>
        <w:rPr>
          <w:rFonts w:hint="eastAsia"/>
          <w:color w:val="auto"/>
          <w:sz w:val="24"/>
          <w:highlight w:val="none"/>
        </w:rPr>
        <w:t>政府采购一体化平台“苏采云”</w:t>
      </w:r>
      <w:r>
        <w:rPr>
          <w:color w:val="auto"/>
          <w:sz w:val="24"/>
          <w:highlight w:val="none"/>
        </w:rPr>
        <w:t>供应商操作手册要求编制、生成并提交电子响应文件。</w:t>
      </w:r>
    </w:p>
    <w:p w14:paraId="4A626C6E">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采购人及采购代理机构拒绝接受通过电子交易平台以外任何形式提交的响应文件，磋商保证金除外。</w:t>
      </w:r>
    </w:p>
    <w:p w14:paraId="43AE07A3">
      <w:pPr>
        <w:numPr>
          <w:ilvl w:val="0"/>
          <w:numId w:val="8"/>
        </w:numPr>
        <w:tabs>
          <w:tab w:val="left" w:pos="360"/>
        </w:tabs>
        <w:spacing w:line="360" w:lineRule="auto"/>
        <w:ind w:left="357" w:hanging="357"/>
        <w:outlineLvl w:val="1"/>
        <w:rPr>
          <w:color w:val="auto"/>
          <w:sz w:val="24"/>
          <w:highlight w:val="none"/>
        </w:rPr>
      </w:pPr>
      <w:r>
        <w:rPr>
          <w:rFonts w:hint="eastAsia"/>
          <w:color w:val="auto"/>
          <w:sz w:val="24"/>
          <w:highlight w:val="none"/>
        </w:rPr>
        <w:t>响应文件递交</w:t>
      </w:r>
      <w:r>
        <w:rPr>
          <w:color w:val="auto"/>
          <w:sz w:val="24"/>
          <w:highlight w:val="none"/>
        </w:rPr>
        <w:t>截止</w:t>
      </w:r>
      <w:r>
        <w:rPr>
          <w:rFonts w:hint="eastAsia"/>
          <w:color w:val="auto"/>
          <w:sz w:val="24"/>
          <w:highlight w:val="none"/>
        </w:rPr>
        <w:t>时间</w:t>
      </w:r>
      <w:bookmarkEnd w:id="307"/>
      <w:bookmarkEnd w:id="308"/>
      <w:bookmarkEnd w:id="309"/>
    </w:p>
    <w:p w14:paraId="79953DA3">
      <w:pPr>
        <w:tabs>
          <w:tab w:val="left" w:pos="1080"/>
          <w:tab w:val="left" w:pos="2014"/>
        </w:tabs>
        <w:spacing w:line="360" w:lineRule="auto"/>
        <w:ind w:left="357"/>
        <w:rPr>
          <w:color w:val="auto"/>
          <w:sz w:val="24"/>
          <w:highlight w:val="none"/>
        </w:rPr>
      </w:pPr>
      <w:r>
        <w:rPr>
          <w:color w:val="auto"/>
          <w:sz w:val="24"/>
          <w:highlight w:val="none"/>
        </w:rPr>
        <w:t>供应商应在竞争性磋商文件要求提交响应文件截止时间前，将电子响应文件提交</w:t>
      </w:r>
      <w:r>
        <w:rPr>
          <w:rFonts w:hint="eastAsia"/>
          <w:color w:val="auto"/>
          <w:sz w:val="24"/>
          <w:highlight w:val="none"/>
        </w:rPr>
        <w:t>。</w:t>
      </w:r>
    </w:p>
    <w:p w14:paraId="48EAD15E">
      <w:pPr>
        <w:numPr>
          <w:ilvl w:val="0"/>
          <w:numId w:val="8"/>
        </w:numPr>
        <w:tabs>
          <w:tab w:val="left" w:pos="360"/>
        </w:tabs>
        <w:spacing w:line="360" w:lineRule="auto"/>
        <w:ind w:left="357" w:hanging="357"/>
        <w:outlineLvl w:val="1"/>
        <w:rPr>
          <w:color w:val="auto"/>
          <w:sz w:val="24"/>
          <w:highlight w:val="none"/>
        </w:rPr>
      </w:pPr>
      <w:bookmarkStart w:id="310" w:name="_Toc20823299"/>
      <w:bookmarkStart w:id="311" w:name="_Toc16938543"/>
      <w:bookmarkStart w:id="312" w:name="_Toc513029227"/>
      <w:r>
        <w:rPr>
          <w:rFonts w:hint="eastAsia"/>
          <w:color w:val="auto"/>
          <w:sz w:val="24"/>
          <w:highlight w:val="none"/>
        </w:rPr>
        <w:t>迟交的</w:t>
      </w:r>
      <w:bookmarkEnd w:id="310"/>
      <w:bookmarkEnd w:id="311"/>
      <w:bookmarkEnd w:id="312"/>
      <w:r>
        <w:rPr>
          <w:rFonts w:hint="eastAsia"/>
          <w:color w:val="auto"/>
          <w:sz w:val="24"/>
          <w:highlight w:val="none"/>
        </w:rPr>
        <w:t>响应文件</w:t>
      </w:r>
    </w:p>
    <w:p w14:paraId="70EE235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提交响应文件截止时间前，供应商可以通过电子交易平台对所提交的响应文件进行补充、修改或者撤回。磋商保证金</w:t>
      </w:r>
      <w:r>
        <w:rPr>
          <w:rFonts w:hint="eastAsia"/>
          <w:color w:val="auto"/>
          <w:sz w:val="24"/>
          <w:highlight w:val="none"/>
        </w:rPr>
        <w:t>的</w:t>
      </w:r>
      <w:r>
        <w:rPr>
          <w:color w:val="auto"/>
          <w:sz w:val="24"/>
          <w:highlight w:val="none"/>
        </w:rPr>
        <w:t>补充、修改或者撤回</w:t>
      </w:r>
      <w:r>
        <w:rPr>
          <w:rFonts w:hint="eastAsia"/>
          <w:color w:val="auto"/>
          <w:sz w:val="24"/>
          <w:highlight w:val="none"/>
        </w:rPr>
        <w:t>无需</w:t>
      </w:r>
      <w:r>
        <w:rPr>
          <w:color w:val="auto"/>
          <w:sz w:val="24"/>
          <w:highlight w:val="none"/>
        </w:rPr>
        <w:t>通过电子交易平台</w:t>
      </w:r>
      <w:r>
        <w:rPr>
          <w:rFonts w:hint="eastAsia"/>
          <w:color w:val="auto"/>
          <w:sz w:val="24"/>
          <w:highlight w:val="none"/>
        </w:rPr>
        <w:t>，</w:t>
      </w:r>
      <w:r>
        <w:rPr>
          <w:color w:val="auto"/>
          <w:sz w:val="24"/>
          <w:highlight w:val="none"/>
        </w:rPr>
        <w:t>但应</w:t>
      </w:r>
      <w:r>
        <w:rPr>
          <w:rFonts w:hint="eastAsia"/>
          <w:color w:val="auto"/>
          <w:sz w:val="24"/>
          <w:highlight w:val="none"/>
        </w:rPr>
        <w:t>就其</w:t>
      </w:r>
      <w:r>
        <w:rPr>
          <w:color w:val="auto"/>
          <w:sz w:val="24"/>
          <w:highlight w:val="none"/>
        </w:rPr>
        <w:t>补充、修改或者撤回</w:t>
      </w:r>
      <w:r>
        <w:rPr>
          <w:rFonts w:hint="eastAsia"/>
          <w:color w:val="auto"/>
          <w:sz w:val="24"/>
          <w:highlight w:val="none"/>
        </w:rPr>
        <w:t>通知</w:t>
      </w:r>
      <w:r>
        <w:rPr>
          <w:color w:val="auto"/>
          <w:sz w:val="24"/>
          <w:highlight w:val="none"/>
        </w:rPr>
        <w:t>采购人或采购代理机构</w:t>
      </w:r>
      <w:r>
        <w:rPr>
          <w:rFonts w:hint="eastAsia"/>
          <w:color w:val="auto"/>
          <w:sz w:val="24"/>
          <w:highlight w:val="none"/>
        </w:rPr>
        <w:t>。</w:t>
      </w:r>
    </w:p>
    <w:p w14:paraId="42BF661B">
      <w:pPr>
        <w:numPr>
          <w:ilvl w:val="1"/>
          <w:numId w:val="8"/>
        </w:numPr>
        <w:tabs>
          <w:tab w:val="left" w:pos="1080"/>
          <w:tab w:val="left" w:pos="2014"/>
        </w:tabs>
        <w:spacing w:line="360" w:lineRule="auto"/>
        <w:ind w:left="1077" w:hanging="720"/>
        <w:rPr>
          <w:color w:val="auto"/>
          <w:highlight w:val="none"/>
        </w:rPr>
      </w:pPr>
      <w:r>
        <w:rPr>
          <w:color w:val="auto"/>
          <w:sz w:val="24"/>
          <w:highlight w:val="none"/>
        </w:rPr>
        <w:t>供应商对响应文件的补充、修改的内容应当按照竞争性磋商文件要求签署、盖章，作为响应文件的组成部分。补充、修改的内容与响应文件不一致的，以补充、修改的内容为准。</w:t>
      </w:r>
    </w:p>
    <w:p w14:paraId="4627BE27">
      <w:pPr>
        <w:pStyle w:val="239"/>
        <w:spacing w:before="0" w:line="360" w:lineRule="auto"/>
        <w:rPr>
          <w:rFonts w:ascii="Times New Roman" w:hAnsi="Times New Roman" w:eastAsia="宋体"/>
          <w:color w:val="auto"/>
          <w:sz w:val="28"/>
          <w:highlight w:val="none"/>
        </w:rPr>
      </w:pPr>
      <w:bookmarkStart w:id="313" w:name="_Toc151193926"/>
      <w:bookmarkStart w:id="314" w:name="_Toc150774743"/>
      <w:bookmarkStart w:id="315" w:name="_Toc150774638"/>
      <w:bookmarkStart w:id="316" w:name="_Toc151193636"/>
      <w:bookmarkStart w:id="317" w:name="_Toc195842903"/>
      <w:bookmarkStart w:id="318" w:name="_Toc151193780"/>
      <w:bookmarkStart w:id="319" w:name="_Toc150509289"/>
      <w:bookmarkStart w:id="320" w:name="_Toc142311040"/>
      <w:bookmarkStart w:id="321" w:name="_Toc264969228"/>
      <w:bookmarkStart w:id="322" w:name="_Toc151193852"/>
      <w:bookmarkStart w:id="323" w:name="_Toc305158806"/>
      <w:bookmarkStart w:id="324" w:name="_Toc226965728"/>
      <w:bookmarkStart w:id="325" w:name="_Toc520356163"/>
      <w:bookmarkStart w:id="326" w:name="_Toc305158880"/>
      <w:bookmarkStart w:id="327" w:name="_Toc151190165"/>
      <w:bookmarkStart w:id="328" w:name="_Toc151193708"/>
      <w:bookmarkStart w:id="329" w:name="_Toc150480776"/>
      <w:bookmarkStart w:id="330" w:name="_Toc127151538"/>
      <w:bookmarkStart w:id="331" w:name="_Toc226337234"/>
      <w:bookmarkStart w:id="332" w:name="_Toc226965811"/>
      <w:bookmarkStart w:id="333" w:name="_Toc226309782"/>
      <w:bookmarkStart w:id="334" w:name="_Toc265228376"/>
      <w:r>
        <w:rPr>
          <w:rFonts w:ascii="Times New Roman" w:hAnsi="Times New Roman" w:eastAsia="宋体"/>
          <w:color w:val="auto"/>
          <w:sz w:val="28"/>
          <w:highlight w:val="none"/>
        </w:rPr>
        <w:t xml:space="preserve">五   </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ascii="Times New Roman" w:hAnsi="Times New Roman" w:eastAsia="宋体"/>
          <w:color w:val="auto"/>
          <w:sz w:val="28"/>
          <w:highlight w:val="none"/>
        </w:rPr>
        <w:t>评审</w:t>
      </w:r>
    </w:p>
    <w:p w14:paraId="1B7E8C2E">
      <w:pPr>
        <w:numPr>
          <w:ilvl w:val="0"/>
          <w:numId w:val="8"/>
        </w:numPr>
        <w:tabs>
          <w:tab w:val="left" w:pos="360"/>
        </w:tabs>
        <w:spacing w:line="360" w:lineRule="auto"/>
        <w:ind w:left="357" w:hanging="357"/>
        <w:outlineLvl w:val="1"/>
        <w:rPr>
          <w:color w:val="auto"/>
          <w:sz w:val="24"/>
          <w:highlight w:val="none"/>
        </w:rPr>
      </w:pPr>
      <w:bookmarkStart w:id="335" w:name="_Toc16938546"/>
      <w:bookmarkEnd w:id="335"/>
      <w:bookmarkStart w:id="336" w:name="_Toc20823302"/>
      <w:bookmarkEnd w:id="336"/>
      <w:bookmarkStart w:id="337" w:name="_Toc513029230"/>
      <w:bookmarkEnd w:id="337"/>
      <w:r>
        <w:rPr>
          <w:color w:val="auto"/>
          <w:sz w:val="24"/>
          <w:highlight w:val="none"/>
        </w:rPr>
        <w:t>响应文件的</w:t>
      </w:r>
      <w:r>
        <w:rPr>
          <w:rFonts w:hint="eastAsia"/>
          <w:color w:val="auto"/>
          <w:sz w:val="24"/>
          <w:highlight w:val="none"/>
        </w:rPr>
        <w:t>解密与</w:t>
      </w:r>
      <w:r>
        <w:rPr>
          <w:color w:val="auto"/>
          <w:sz w:val="24"/>
          <w:highlight w:val="none"/>
        </w:rPr>
        <w:t>开启</w:t>
      </w:r>
    </w:p>
    <w:p w14:paraId="30A942A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采购人或采购代理机构将按竞争性磋商文件的规定，在响应文件提交截止时间的同一时间和竞争性磋商文件预先确定的地点开启响应文件。</w:t>
      </w:r>
    </w:p>
    <w:p w14:paraId="488E802F">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w:t>
      </w:r>
      <w:r>
        <w:rPr>
          <w:rFonts w:ascii="宋体" w:hAnsi="宋体"/>
          <w:color w:val="auto"/>
          <w:sz w:val="24"/>
          <w:highlight w:val="none"/>
        </w:rPr>
        <w:t>采用不见面招</w:t>
      </w:r>
      <w:r>
        <w:rPr>
          <w:rFonts w:hint="eastAsia" w:ascii="宋体" w:hAnsi="宋体"/>
          <w:color w:val="auto"/>
          <w:sz w:val="24"/>
          <w:highlight w:val="none"/>
        </w:rPr>
        <w:t>交易</w:t>
      </w:r>
      <w:r>
        <w:rPr>
          <w:rFonts w:ascii="宋体" w:hAnsi="宋体"/>
          <w:color w:val="auto"/>
          <w:sz w:val="24"/>
          <w:highlight w:val="none"/>
        </w:rPr>
        <w:t>模式</w:t>
      </w:r>
      <w:r>
        <w:rPr>
          <w:rFonts w:hint="eastAsia" w:ascii="宋体" w:hAnsi="宋体"/>
          <w:color w:val="auto"/>
          <w:sz w:val="24"/>
          <w:highlight w:val="none"/>
        </w:rPr>
        <w:t>，</w:t>
      </w:r>
      <w:r>
        <w:rPr>
          <w:color w:val="auto"/>
          <w:sz w:val="24"/>
          <w:highlight w:val="none"/>
        </w:rPr>
        <w:t>使用</w:t>
      </w:r>
      <w:r>
        <w:rPr>
          <w:rFonts w:hint="eastAsia"/>
          <w:color w:val="auto"/>
          <w:sz w:val="24"/>
          <w:highlight w:val="none"/>
        </w:rPr>
        <w:t>政府采购一体化平台“苏采云”在线进行</w:t>
      </w:r>
      <w:r>
        <w:rPr>
          <w:color w:val="auto"/>
          <w:sz w:val="24"/>
          <w:highlight w:val="none"/>
        </w:rPr>
        <w:t>解密。供应商应在规定的时间内对</w:t>
      </w:r>
      <w:r>
        <w:rPr>
          <w:rFonts w:hint="eastAsia"/>
          <w:color w:val="auto"/>
          <w:sz w:val="24"/>
          <w:highlight w:val="none"/>
        </w:rPr>
        <w:t>响应</w:t>
      </w:r>
      <w:r>
        <w:rPr>
          <w:color w:val="auto"/>
          <w:sz w:val="24"/>
          <w:highlight w:val="none"/>
        </w:rPr>
        <w:t>文件进行解密，因非系统原因导致的解密失败，视为</w:t>
      </w:r>
      <w:r>
        <w:rPr>
          <w:b/>
          <w:color w:val="auto"/>
          <w:sz w:val="24"/>
          <w:highlight w:val="none"/>
        </w:rPr>
        <w:t>响应无效</w:t>
      </w:r>
      <w:r>
        <w:rPr>
          <w:color w:val="auto"/>
          <w:sz w:val="24"/>
          <w:highlight w:val="none"/>
        </w:rPr>
        <w:t>。</w:t>
      </w:r>
    </w:p>
    <w:p w14:paraId="7F06B77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供应商不足3家的，不予解密。</w:t>
      </w:r>
    </w:p>
    <w:p w14:paraId="11C676F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本项目不公开报价</w:t>
      </w:r>
      <w:r>
        <w:rPr>
          <w:rFonts w:hint="eastAsia"/>
          <w:color w:val="auto"/>
          <w:sz w:val="24"/>
          <w:highlight w:val="none"/>
        </w:rPr>
        <w:t>。</w:t>
      </w:r>
    </w:p>
    <w:p w14:paraId="78A9A19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供应商须在开标前使用“验证CA”功能验证本地计算机的控件环境是否正常，并且在</w:t>
      </w:r>
      <w:r>
        <w:rPr>
          <w:rFonts w:hint="eastAsia"/>
          <w:color w:val="auto"/>
          <w:sz w:val="24"/>
          <w:highlight w:val="none"/>
        </w:rPr>
        <w:t>解密、评审</w:t>
      </w:r>
      <w:r>
        <w:rPr>
          <w:color w:val="auto"/>
          <w:sz w:val="24"/>
          <w:highlight w:val="none"/>
        </w:rPr>
        <w:t>过程中不可随意更换</w:t>
      </w:r>
      <w:r>
        <w:rPr>
          <w:rFonts w:hint="eastAsia"/>
          <w:color w:val="auto"/>
          <w:sz w:val="24"/>
          <w:highlight w:val="none"/>
        </w:rPr>
        <w:t>计算机</w:t>
      </w:r>
      <w:r>
        <w:rPr>
          <w:color w:val="auto"/>
          <w:sz w:val="24"/>
          <w:highlight w:val="none"/>
        </w:rPr>
        <w:t>，必须使用验证成功的计算机进行操作，否则造成相应后果由供应商自行承担。本地计算机</w:t>
      </w:r>
      <w:r>
        <w:rPr>
          <w:rFonts w:hint="eastAsia"/>
          <w:color w:val="auto"/>
          <w:sz w:val="24"/>
          <w:highlight w:val="none"/>
        </w:rPr>
        <w:t>要求安装摄像头、麦克风和音箱，保持网络通畅。</w:t>
      </w:r>
    </w:p>
    <w:p w14:paraId="3C7F784D">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因本项目</w:t>
      </w:r>
      <w:r>
        <w:rPr>
          <w:color w:val="auto"/>
          <w:sz w:val="24"/>
          <w:highlight w:val="none"/>
        </w:rPr>
        <w:t>采用不见面交易的</w:t>
      </w:r>
      <w:r>
        <w:rPr>
          <w:rFonts w:hint="eastAsia"/>
          <w:color w:val="auto"/>
          <w:sz w:val="24"/>
          <w:highlight w:val="none"/>
        </w:rPr>
        <w:t>方式</w:t>
      </w:r>
      <w:r>
        <w:rPr>
          <w:color w:val="auto"/>
          <w:sz w:val="24"/>
          <w:highlight w:val="none"/>
        </w:rPr>
        <w:t>，在</w:t>
      </w:r>
      <w:r>
        <w:rPr>
          <w:rFonts w:hint="eastAsia"/>
          <w:color w:val="auto"/>
          <w:sz w:val="24"/>
          <w:highlight w:val="none"/>
        </w:rPr>
        <w:t>解密、评审</w:t>
      </w:r>
      <w:r>
        <w:rPr>
          <w:color w:val="auto"/>
          <w:sz w:val="24"/>
          <w:highlight w:val="none"/>
        </w:rPr>
        <w:t>过程中，</w:t>
      </w:r>
      <w:r>
        <w:rPr>
          <w:rFonts w:hint="eastAsia"/>
          <w:color w:val="auto"/>
          <w:sz w:val="24"/>
          <w:highlight w:val="none"/>
        </w:rPr>
        <w:t>供应商</w:t>
      </w:r>
      <w:r>
        <w:rPr>
          <w:color w:val="auto"/>
          <w:sz w:val="24"/>
          <w:highlight w:val="none"/>
        </w:rPr>
        <w:t>需</w:t>
      </w:r>
      <w:r>
        <w:rPr>
          <w:rFonts w:hint="eastAsia"/>
          <w:color w:val="auto"/>
          <w:sz w:val="24"/>
          <w:highlight w:val="none"/>
        </w:rPr>
        <w:t>要</w:t>
      </w:r>
      <w:r>
        <w:rPr>
          <w:color w:val="auto"/>
          <w:sz w:val="24"/>
          <w:highlight w:val="none"/>
        </w:rPr>
        <w:t>保持操作计算机前有相关责任人</w:t>
      </w:r>
      <w:r>
        <w:rPr>
          <w:rFonts w:hint="eastAsia"/>
          <w:color w:val="auto"/>
          <w:sz w:val="24"/>
          <w:highlight w:val="none"/>
        </w:rPr>
        <w:t>值守，及时对于系统或者磋商小组发出的指令和要求进行响应操作。如果因为无人值守造成不能及时回应系统或者磋商小组指令和要求从而导致影响开标、评审结果的，责任由供应商承担</w:t>
      </w:r>
      <w:r>
        <w:rPr>
          <w:color w:val="auto"/>
          <w:sz w:val="24"/>
          <w:highlight w:val="none"/>
        </w:rPr>
        <w:t>。</w:t>
      </w:r>
    </w:p>
    <w:p w14:paraId="02D31F3F">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如果在</w:t>
      </w:r>
      <w:r>
        <w:rPr>
          <w:color w:val="auto"/>
          <w:sz w:val="24"/>
          <w:highlight w:val="none"/>
        </w:rPr>
        <w:t>采购</w:t>
      </w:r>
      <w:r>
        <w:rPr>
          <w:rFonts w:hint="eastAsia"/>
          <w:color w:val="auto"/>
          <w:sz w:val="24"/>
          <w:highlight w:val="none"/>
        </w:rPr>
        <w:t>活动</w:t>
      </w:r>
      <w:r>
        <w:rPr>
          <w:color w:val="auto"/>
          <w:sz w:val="24"/>
          <w:highlight w:val="none"/>
        </w:rPr>
        <w:t>过程中出现以下情形，导致</w:t>
      </w:r>
      <w:r>
        <w:rPr>
          <w:rFonts w:hint="eastAsia"/>
          <w:color w:val="auto"/>
          <w:sz w:val="24"/>
          <w:highlight w:val="none"/>
        </w:rPr>
        <w:t>“政府采购一体化平台“苏采云””系统</w:t>
      </w:r>
      <w:r>
        <w:rPr>
          <w:color w:val="auto"/>
          <w:sz w:val="24"/>
          <w:highlight w:val="none"/>
        </w:rPr>
        <w:t>无法正常运行，或者无法保证</w:t>
      </w:r>
      <w:r>
        <w:rPr>
          <w:rFonts w:hint="eastAsia"/>
          <w:color w:val="auto"/>
          <w:sz w:val="24"/>
          <w:highlight w:val="none"/>
        </w:rPr>
        <w:t>本项目采购活动</w:t>
      </w:r>
      <w:r>
        <w:rPr>
          <w:color w:val="auto"/>
          <w:sz w:val="24"/>
          <w:highlight w:val="none"/>
        </w:rPr>
        <w:t>的公平、公正和安全时，</w:t>
      </w:r>
      <w:r>
        <w:rPr>
          <w:rFonts w:hint="eastAsia"/>
          <w:color w:val="auto"/>
          <w:sz w:val="24"/>
          <w:highlight w:val="none"/>
        </w:rPr>
        <w:t>代理机构</w:t>
      </w:r>
      <w:r>
        <w:rPr>
          <w:color w:val="auto"/>
          <w:sz w:val="24"/>
          <w:highlight w:val="none"/>
        </w:rPr>
        <w:t>可</w:t>
      </w:r>
      <w:r>
        <w:rPr>
          <w:rFonts w:hint="eastAsia"/>
          <w:color w:val="auto"/>
          <w:sz w:val="24"/>
          <w:highlight w:val="none"/>
        </w:rPr>
        <w:t>以延缓或者暂停采购活动，情况严重的可以终止采购</w:t>
      </w:r>
      <w:r>
        <w:rPr>
          <w:color w:val="auto"/>
          <w:sz w:val="24"/>
          <w:highlight w:val="none"/>
        </w:rPr>
        <w:t>活动：</w:t>
      </w:r>
    </w:p>
    <w:p w14:paraId="743D9DAE">
      <w:pPr>
        <w:numPr>
          <w:ilvl w:val="1"/>
          <w:numId w:val="8"/>
        </w:numPr>
        <w:tabs>
          <w:tab w:val="left" w:pos="1080"/>
          <w:tab w:val="left" w:pos="2014"/>
        </w:tabs>
        <w:spacing w:line="360" w:lineRule="auto"/>
        <w:ind w:left="1077" w:hanging="720"/>
        <w:rPr>
          <w:color w:val="auto"/>
          <w:sz w:val="24"/>
          <w:highlight w:val="none"/>
        </w:rPr>
      </w:pPr>
      <w:r>
        <w:rPr>
          <w:rFonts w:hint="eastAsia"/>
          <w:color w:val="auto"/>
          <w:sz w:val="24"/>
          <w:highlight w:val="none"/>
        </w:rPr>
        <w:t xml:space="preserve"> 1)</w:t>
      </w:r>
      <w:r>
        <w:rPr>
          <w:color w:val="auto"/>
          <w:sz w:val="24"/>
          <w:highlight w:val="none"/>
        </w:rPr>
        <w:t>平台</w:t>
      </w:r>
      <w:r>
        <w:rPr>
          <w:rFonts w:hint="eastAsia"/>
          <w:color w:val="auto"/>
          <w:sz w:val="24"/>
          <w:highlight w:val="none"/>
        </w:rPr>
        <w:t>系统</w:t>
      </w:r>
      <w:r>
        <w:rPr>
          <w:color w:val="auto"/>
          <w:sz w:val="24"/>
          <w:highlight w:val="none"/>
        </w:rPr>
        <w:t>发生故障而无法登录访问的；</w:t>
      </w:r>
    </w:p>
    <w:p w14:paraId="152FD239">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2)</w:t>
      </w:r>
      <w:r>
        <w:rPr>
          <w:color w:val="auto"/>
          <w:sz w:val="24"/>
          <w:highlight w:val="none"/>
        </w:rPr>
        <w:t>平台</w:t>
      </w:r>
      <w:r>
        <w:rPr>
          <w:rFonts w:hint="eastAsia"/>
          <w:color w:val="auto"/>
          <w:sz w:val="24"/>
          <w:highlight w:val="none"/>
        </w:rPr>
        <w:t>系统</w:t>
      </w:r>
      <w:r>
        <w:rPr>
          <w:color w:val="auto"/>
          <w:sz w:val="24"/>
          <w:highlight w:val="none"/>
        </w:rPr>
        <w:t>应用或数据库出现错误，不能进行正常操作的；</w:t>
      </w:r>
    </w:p>
    <w:p w14:paraId="11DB4F68">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3)</w:t>
      </w:r>
      <w:r>
        <w:rPr>
          <w:color w:val="auto"/>
          <w:sz w:val="24"/>
          <w:highlight w:val="none"/>
        </w:rPr>
        <w:t>平台</w:t>
      </w:r>
      <w:r>
        <w:rPr>
          <w:rFonts w:hint="eastAsia"/>
          <w:color w:val="auto"/>
          <w:sz w:val="24"/>
          <w:highlight w:val="none"/>
        </w:rPr>
        <w:t>系统</w:t>
      </w:r>
      <w:r>
        <w:rPr>
          <w:color w:val="auto"/>
          <w:sz w:val="24"/>
          <w:highlight w:val="none"/>
        </w:rPr>
        <w:t>发现严重安全漏洞，有潜在泄密危险的；</w:t>
      </w:r>
    </w:p>
    <w:p w14:paraId="0457CD27">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4)</w:t>
      </w:r>
      <w:r>
        <w:rPr>
          <w:color w:val="auto"/>
          <w:sz w:val="24"/>
          <w:highlight w:val="none"/>
        </w:rPr>
        <w:t>病毒发作导致平台</w:t>
      </w:r>
      <w:r>
        <w:rPr>
          <w:rFonts w:hint="eastAsia"/>
          <w:color w:val="auto"/>
          <w:sz w:val="24"/>
          <w:highlight w:val="none"/>
        </w:rPr>
        <w:t>系统</w:t>
      </w:r>
      <w:r>
        <w:rPr>
          <w:color w:val="auto"/>
          <w:sz w:val="24"/>
          <w:highlight w:val="none"/>
        </w:rPr>
        <w:t>不能进行正常操作的；</w:t>
      </w:r>
    </w:p>
    <w:p w14:paraId="589C804D">
      <w:pPr>
        <w:tabs>
          <w:tab w:val="left" w:pos="1080"/>
          <w:tab w:val="left" w:pos="1589"/>
          <w:tab w:val="left" w:pos="2014"/>
        </w:tabs>
        <w:spacing w:line="360" w:lineRule="auto"/>
        <w:ind w:left="357" w:firstLine="840"/>
        <w:rPr>
          <w:color w:val="auto"/>
          <w:sz w:val="24"/>
          <w:highlight w:val="none"/>
        </w:rPr>
      </w:pPr>
      <w:r>
        <w:rPr>
          <w:rFonts w:hint="eastAsia"/>
          <w:color w:val="auto"/>
          <w:sz w:val="24"/>
          <w:highlight w:val="none"/>
        </w:rPr>
        <w:t>5)</w:t>
      </w:r>
      <w:r>
        <w:rPr>
          <w:color w:val="auto"/>
          <w:sz w:val="24"/>
          <w:highlight w:val="none"/>
        </w:rPr>
        <w:t>其他无法保证</w:t>
      </w:r>
      <w:r>
        <w:rPr>
          <w:rFonts w:hint="eastAsia"/>
          <w:color w:val="auto"/>
          <w:sz w:val="24"/>
          <w:highlight w:val="none"/>
        </w:rPr>
        <w:t>本次采购活动</w:t>
      </w:r>
      <w:r>
        <w:rPr>
          <w:color w:val="auto"/>
          <w:sz w:val="24"/>
          <w:highlight w:val="none"/>
        </w:rPr>
        <w:t>的公平、公正和安全的情况。</w:t>
      </w:r>
    </w:p>
    <w:p w14:paraId="6C25BB87">
      <w:pPr>
        <w:numPr>
          <w:ilvl w:val="1"/>
          <w:numId w:val="8"/>
        </w:numPr>
        <w:tabs>
          <w:tab w:val="left" w:pos="1080"/>
          <w:tab w:val="left" w:pos="2014"/>
        </w:tabs>
        <w:spacing w:line="360" w:lineRule="auto"/>
        <w:ind w:left="1077" w:hanging="720"/>
        <w:rPr>
          <w:color w:val="auto"/>
          <w:highlight w:val="none"/>
        </w:rPr>
      </w:pPr>
      <w:r>
        <w:rPr>
          <w:color w:val="auto"/>
          <w:sz w:val="24"/>
          <w:highlight w:val="none"/>
        </w:rPr>
        <w:t>出现</w:t>
      </w:r>
      <w:r>
        <w:rPr>
          <w:rFonts w:hint="eastAsia"/>
          <w:color w:val="auto"/>
          <w:sz w:val="24"/>
          <w:highlight w:val="none"/>
        </w:rPr>
        <w:t>上述</w:t>
      </w:r>
      <w:r>
        <w:rPr>
          <w:color w:val="auto"/>
          <w:sz w:val="24"/>
          <w:highlight w:val="none"/>
        </w:rPr>
        <w:t>情形，不影响采购</w:t>
      </w:r>
      <w:r>
        <w:rPr>
          <w:rFonts w:hint="eastAsia"/>
          <w:color w:val="auto"/>
          <w:sz w:val="24"/>
          <w:highlight w:val="none"/>
        </w:rPr>
        <w:t>活动</w:t>
      </w:r>
      <w:r>
        <w:rPr>
          <w:color w:val="auto"/>
          <w:sz w:val="24"/>
          <w:highlight w:val="none"/>
        </w:rPr>
        <w:t>公平、公正性的，</w:t>
      </w:r>
      <w:r>
        <w:rPr>
          <w:rFonts w:hint="eastAsia"/>
          <w:color w:val="auto"/>
          <w:sz w:val="24"/>
          <w:highlight w:val="none"/>
        </w:rPr>
        <w:t>代理机构</w:t>
      </w:r>
      <w:r>
        <w:rPr>
          <w:color w:val="auto"/>
          <w:sz w:val="24"/>
          <w:highlight w:val="none"/>
        </w:rPr>
        <w:t>可以待上述情形消除后继续组织</w:t>
      </w:r>
      <w:r>
        <w:rPr>
          <w:rFonts w:hint="eastAsia"/>
          <w:color w:val="auto"/>
          <w:sz w:val="24"/>
          <w:highlight w:val="none"/>
        </w:rPr>
        <w:t>不见面</w:t>
      </w:r>
      <w:r>
        <w:rPr>
          <w:color w:val="auto"/>
          <w:sz w:val="24"/>
          <w:highlight w:val="none"/>
        </w:rPr>
        <w:t>交易</w:t>
      </w:r>
      <w:r>
        <w:rPr>
          <w:rFonts w:hint="eastAsia"/>
          <w:color w:val="auto"/>
          <w:sz w:val="24"/>
          <w:highlight w:val="none"/>
        </w:rPr>
        <w:t>采购</w:t>
      </w:r>
      <w:r>
        <w:rPr>
          <w:color w:val="auto"/>
          <w:sz w:val="24"/>
          <w:highlight w:val="none"/>
        </w:rPr>
        <w:t>活动，也可以决定某些环节以纸质形式进行；影响或可能影响采购</w:t>
      </w:r>
      <w:r>
        <w:rPr>
          <w:rFonts w:hint="eastAsia"/>
          <w:color w:val="auto"/>
          <w:sz w:val="24"/>
          <w:highlight w:val="none"/>
        </w:rPr>
        <w:t>活动</w:t>
      </w:r>
      <w:r>
        <w:rPr>
          <w:color w:val="auto"/>
          <w:sz w:val="24"/>
          <w:highlight w:val="none"/>
        </w:rPr>
        <w:t>公平、公正性的，应当</w:t>
      </w:r>
      <w:r>
        <w:rPr>
          <w:rFonts w:hint="eastAsia"/>
          <w:color w:val="auto"/>
          <w:sz w:val="24"/>
          <w:highlight w:val="none"/>
        </w:rPr>
        <w:t>终止本次项目，</w:t>
      </w:r>
      <w:r>
        <w:rPr>
          <w:color w:val="auto"/>
          <w:sz w:val="24"/>
          <w:highlight w:val="none"/>
        </w:rPr>
        <w:t>重新</w:t>
      </w:r>
      <w:r>
        <w:rPr>
          <w:rFonts w:hint="eastAsia"/>
          <w:color w:val="auto"/>
          <w:sz w:val="24"/>
          <w:highlight w:val="none"/>
        </w:rPr>
        <w:t>组织</w:t>
      </w:r>
      <w:r>
        <w:rPr>
          <w:color w:val="auto"/>
          <w:sz w:val="24"/>
          <w:highlight w:val="none"/>
        </w:rPr>
        <w:t>采购。</w:t>
      </w:r>
    </w:p>
    <w:p w14:paraId="2E5A3D29">
      <w:pPr>
        <w:numPr>
          <w:ilvl w:val="0"/>
          <w:numId w:val="8"/>
        </w:numPr>
        <w:tabs>
          <w:tab w:val="left" w:pos="360"/>
        </w:tabs>
        <w:spacing w:line="360" w:lineRule="auto"/>
        <w:ind w:left="357" w:hanging="357"/>
        <w:outlineLvl w:val="1"/>
        <w:rPr>
          <w:color w:val="auto"/>
          <w:sz w:val="24"/>
          <w:highlight w:val="none"/>
        </w:rPr>
      </w:pPr>
      <w:r>
        <w:rPr>
          <w:rFonts w:hint="eastAsia"/>
          <w:color w:val="auto"/>
          <w:sz w:val="24"/>
          <w:highlight w:val="none"/>
        </w:rPr>
        <w:t>磋商小组</w:t>
      </w:r>
    </w:p>
    <w:p w14:paraId="23BE49F7">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磋商小组根据政府采购有关规定和本次采购项目的特点进行组建，并负责具体评审事务，独立履行职责。</w:t>
      </w:r>
      <w:bookmarkStart w:id="338" w:name="_Toc520356166"/>
    </w:p>
    <w:p w14:paraId="3436504B">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评审专家须符合</w:t>
      </w:r>
      <w:r>
        <w:rPr>
          <w:rFonts w:hint="eastAsia"/>
          <w:color w:val="auto"/>
          <w:sz w:val="24"/>
          <w:highlight w:val="none"/>
        </w:rPr>
        <w:t>相关</w:t>
      </w:r>
      <w:r>
        <w:rPr>
          <w:color w:val="auto"/>
          <w:sz w:val="24"/>
          <w:highlight w:val="none"/>
        </w:rPr>
        <w:t>规定。依法自行选定评审专家的，采购人和采购代理机构将查询有关信用记录，对具有行贿、受贿、欺诈等不良信用记录的人员，拒绝其参与政府采购活动。</w:t>
      </w:r>
      <w:bookmarkEnd w:id="338"/>
      <w:bookmarkStart w:id="339" w:name="_Toc520356169"/>
    </w:p>
    <w:p w14:paraId="66C1FD8B">
      <w:pPr>
        <w:numPr>
          <w:ilvl w:val="0"/>
          <w:numId w:val="8"/>
        </w:numPr>
        <w:tabs>
          <w:tab w:val="left" w:pos="360"/>
        </w:tabs>
        <w:spacing w:line="360" w:lineRule="auto"/>
        <w:outlineLvl w:val="1"/>
        <w:rPr>
          <w:color w:val="auto"/>
          <w:sz w:val="24"/>
          <w:highlight w:val="none"/>
        </w:rPr>
      </w:pPr>
      <w:r>
        <w:rPr>
          <w:color w:val="auto"/>
          <w:sz w:val="24"/>
          <w:highlight w:val="none"/>
        </w:rPr>
        <w:t>评审方法和评审标准</w:t>
      </w:r>
    </w:p>
    <w:p w14:paraId="13B11278">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见第三章《评审方法和评审标准》。</w:t>
      </w:r>
    </w:p>
    <w:p w14:paraId="34AE4F4D">
      <w:pPr>
        <w:tabs>
          <w:tab w:val="left" w:pos="360"/>
          <w:tab w:val="left" w:pos="1080"/>
        </w:tabs>
        <w:spacing w:line="360" w:lineRule="auto"/>
        <w:ind w:left="1080"/>
        <w:rPr>
          <w:color w:val="auto"/>
          <w:sz w:val="24"/>
          <w:highlight w:val="none"/>
        </w:rPr>
      </w:pPr>
    </w:p>
    <w:p w14:paraId="42E4ABC9">
      <w:pPr>
        <w:pStyle w:val="239"/>
        <w:spacing w:before="0" w:line="360" w:lineRule="auto"/>
        <w:rPr>
          <w:rFonts w:ascii="Times New Roman" w:hAnsi="Times New Roman" w:eastAsia="宋体"/>
          <w:color w:val="auto"/>
          <w:sz w:val="28"/>
          <w:highlight w:val="none"/>
        </w:rPr>
      </w:pPr>
      <w:bookmarkStart w:id="340" w:name="_Toc265228383"/>
      <w:bookmarkStart w:id="341" w:name="_Toc127151545"/>
      <w:bookmarkStart w:id="342" w:name="_Toc226965818"/>
      <w:bookmarkStart w:id="343" w:name="_Toc195842910"/>
      <w:bookmarkStart w:id="344" w:name="_Toc226337241"/>
      <w:bookmarkStart w:id="345" w:name="_Toc151193859"/>
      <w:bookmarkStart w:id="346" w:name="_Toc151193933"/>
      <w:bookmarkStart w:id="347" w:name="_Toc150774645"/>
      <w:bookmarkStart w:id="348" w:name="_Toc142311047"/>
      <w:bookmarkStart w:id="349" w:name="_Toc151193787"/>
      <w:bookmarkStart w:id="350" w:name="_Toc305158813"/>
      <w:bookmarkStart w:id="351" w:name="_Toc226965735"/>
      <w:bookmarkStart w:id="352" w:name="_Toc226309789"/>
      <w:bookmarkStart w:id="353" w:name="_Toc150774750"/>
      <w:bookmarkStart w:id="354" w:name="_Toc150480783"/>
      <w:bookmarkStart w:id="355" w:name="_Toc151190172"/>
      <w:bookmarkStart w:id="356" w:name="_Toc305158887"/>
      <w:bookmarkStart w:id="357" w:name="_Toc151193715"/>
      <w:bookmarkStart w:id="358" w:name="_Toc264969235"/>
      <w:bookmarkStart w:id="359" w:name="_Toc150509296"/>
      <w:bookmarkStart w:id="360" w:name="_Toc151193643"/>
      <w:r>
        <w:rPr>
          <w:rFonts w:ascii="Times New Roman" w:hAnsi="Times New Roman" w:eastAsia="宋体"/>
          <w:color w:val="auto"/>
          <w:sz w:val="28"/>
          <w:highlight w:val="none"/>
        </w:rPr>
        <w:t xml:space="preserve">六   </w:t>
      </w:r>
      <w:bookmarkEnd w:id="339"/>
      <w:r>
        <w:rPr>
          <w:rFonts w:ascii="Times New Roman" w:hAnsi="Times New Roman" w:eastAsia="宋体"/>
          <w:color w:val="auto"/>
          <w:sz w:val="28"/>
          <w:highlight w:val="none"/>
        </w:rPr>
        <w:t>确定</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eastAsia="宋体"/>
          <w:color w:val="auto"/>
          <w:sz w:val="28"/>
          <w:highlight w:val="none"/>
        </w:rPr>
        <w:t>成交</w:t>
      </w:r>
    </w:p>
    <w:p w14:paraId="6FC9C3C2">
      <w:pPr>
        <w:numPr>
          <w:ilvl w:val="0"/>
          <w:numId w:val="8"/>
        </w:numPr>
        <w:tabs>
          <w:tab w:val="left" w:pos="360"/>
        </w:tabs>
        <w:spacing w:line="360" w:lineRule="auto"/>
        <w:ind w:left="357" w:hanging="357"/>
        <w:outlineLvl w:val="1"/>
        <w:rPr>
          <w:color w:val="auto"/>
          <w:sz w:val="24"/>
          <w:highlight w:val="none"/>
        </w:rPr>
      </w:pPr>
      <w:bookmarkStart w:id="361" w:name="_Toc305158889"/>
      <w:bookmarkStart w:id="362" w:name="_Toc151193789"/>
      <w:bookmarkStart w:id="363" w:name="_Toc305158815"/>
      <w:bookmarkStart w:id="364" w:name="_Toc127151547"/>
      <w:bookmarkStart w:id="365" w:name="_Toc151193717"/>
      <w:bookmarkStart w:id="366" w:name="_Toc127161461"/>
      <w:bookmarkStart w:id="367" w:name="_Toc164229388"/>
      <w:bookmarkStart w:id="368" w:name="_Toc142311049"/>
      <w:bookmarkStart w:id="369" w:name="_Toc226965820"/>
      <w:bookmarkStart w:id="370" w:name="_Toc195842912"/>
      <w:bookmarkStart w:id="371" w:name="_Toc151193935"/>
      <w:bookmarkStart w:id="372" w:name="_Toc164608816"/>
      <w:bookmarkStart w:id="373" w:name="_Toc164229242"/>
      <w:bookmarkStart w:id="374" w:name="_Toc151190174"/>
      <w:bookmarkStart w:id="375" w:name="_Toc264969237"/>
      <w:bookmarkStart w:id="376" w:name="_Toc150480785"/>
      <w:bookmarkStart w:id="377" w:name="_Toc151193645"/>
      <w:bookmarkStart w:id="378" w:name="_Toc226337243"/>
      <w:bookmarkStart w:id="379" w:name="_Toc127151748"/>
      <w:bookmarkStart w:id="380" w:name="_Toc150774647"/>
      <w:bookmarkStart w:id="381" w:name="_Toc164608661"/>
      <w:bookmarkStart w:id="382" w:name="_Toc151193861"/>
      <w:bookmarkStart w:id="383" w:name="_Toc226309791"/>
      <w:bookmarkStart w:id="384" w:name="_Toc226965737"/>
      <w:bookmarkStart w:id="385" w:name="_Toc150509298"/>
      <w:bookmarkStart w:id="386" w:name="_Toc265228385"/>
      <w:bookmarkStart w:id="387" w:name="_Toc149720840"/>
      <w:bookmarkStart w:id="388" w:name="_Toc164351641"/>
      <w:bookmarkStart w:id="389" w:name="_Toc150774752"/>
      <w:r>
        <w:rPr>
          <w:color w:val="auto"/>
          <w:sz w:val="24"/>
          <w:highlight w:val="none"/>
        </w:rPr>
        <w:t>确定成交供应商</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6909A44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采购人将在收到评审报告后，从评审报告提出的成交候选供应商中，按照排序由高到低的原则确定成交供应商</w:t>
      </w:r>
      <w:r>
        <w:rPr>
          <w:rFonts w:hint="eastAsia"/>
          <w:color w:val="auto"/>
          <w:sz w:val="24"/>
          <w:highlight w:val="none"/>
        </w:rPr>
        <w:t>。</w:t>
      </w:r>
      <w:r>
        <w:rPr>
          <w:color w:val="auto"/>
          <w:sz w:val="24"/>
          <w:highlight w:val="none"/>
        </w:rPr>
        <w:t>成交候选人并列的，由采购人</w:t>
      </w:r>
      <w:r>
        <w:rPr>
          <w:rFonts w:hint="eastAsia"/>
          <w:color w:val="auto"/>
          <w:sz w:val="24"/>
          <w:highlight w:val="none"/>
        </w:rPr>
        <w:t>依法</w:t>
      </w:r>
      <w:r>
        <w:rPr>
          <w:color w:val="auto"/>
          <w:sz w:val="24"/>
          <w:highlight w:val="none"/>
        </w:rPr>
        <w:t>确定。</w:t>
      </w:r>
    </w:p>
    <w:p w14:paraId="78303938">
      <w:pPr>
        <w:numPr>
          <w:ilvl w:val="0"/>
          <w:numId w:val="8"/>
        </w:numPr>
        <w:tabs>
          <w:tab w:val="left" w:pos="360"/>
        </w:tabs>
        <w:spacing w:line="360" w:lineRule="auto"/>
        <w:ind w:left="357" w:hanging="357"/>
        <w:outlineLvl w:val="1"/>
        <w:rPr>
          <w:color w:val="auto"/>
          <w:sz w:val="24"/>
          <w:highlight w:val="none"/>
        </w:rPr>
      </w:pPr>
      <w:bookmarkStart w:id="390" w:name="_Toc305158891"/>
      <w:bookmarkStart w:id="391" w:name="_Toc305158817"/>
      <w:bookmarkStart w:id="392" w:name="_Toc150480787"/>
      <w:bookmarkStart w:id="393" w:name="_Toc151190176"/>
      <w:bookmarkStart w:id="394" w:name="_Toc127161463"/>
      <w:bookmarkStart w:id="395" w:name="_Toc226337245"/>
      <w:bookmarkStart w:id="396" w:name="_Toc264969239"/>
      <w:bookmarkStart w:id="397" w:name="_Toc265228387"/>
      <w:bookmarkStart w:id="398" w:name="_Toc226965739"/>
      <w:bookmarkStart w:id="399" w:name="_Toc150774649"/>
      <w:bookmarkStart w:id="400" w:name="_Toc127151549"/>
      <w:bookmarkStart w:id="401" w:name="_Toc164608663"/>
      <w:bookmarkStart w:id="402" w:name="_Toc149720842"/>
      <w:bookmarkStart w:id="403" w:name="_Toc151193719"/>
      <w:bookmarkStart w:id="404" w:name="_Toc164229390"/>
      <w:bookmarkStart w:id="405" w:name="_Toc164608818"/>
      <w:bookmarkStart w:id="406" w:name="_Toc151193647"/>
      <w:bookmarkStart w:id="407" w:name="_Toc151193863"/>
      <w:bookmarkStart w:id="408" w:name="_Toc151193791"/>
      <w:bookmarkStart w:id="409" w:name="_Toc151193937"/>
      <w:bookmarkStart w:id="410" w:name="_Toc142311051"/>
      <w:bookmarkStart w:id="411" w:name="_Toc150509300"/>
      <w:bookmarkStart w:id="412" w:name="_Toc164351643"/>
      <w:bookmarkStart w:id="413" w:name="_Toc195842914"/>
      <w:bookmarkStart w:id="414" w:name="_Toc150774754"/>
      <w:bookmarkStart w:id="415" w:name="_Toc226309793"/>
      <w:bookmarkStart w:id="416" w:name="_Toc164229244"/>
      <w:bookmarkStart w:id="417" w:name="_Toc127151750"/>
      <w:bookmarkStart w:id="418" w:name="_Toc226965822"/>
      <w:bookmarkStart w:id="419" w:name="_Toc520356176"/>
      <w:bookmarkStart w:id="420" w:name="_Ref467307090"/>
      <w:bookmarkStart w:id="421" w:name="_Ref467306425"/>
      <w:r>
        <w:rPr>
          <w:color w:val="auto"/>
          <w:sz w:val="24"/>
          <w:highlight w:val="none"/>
        </w:rPr>
        <w:t>成交公告与成交通知书</w:t>
      </w:r>
      <w:bookmarkEnd w:id="390"/>
      <w:bookmarkEnd w:id="391"/>
    </w:p>
    <w:p w14:paraId="627D6F1F">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采购人或采购代理机构将在成交供应商确定后2个工作日内，在</w:t>
      </w:r>
      <w:r>
        <w:rPr>
          <w:rFonts w:hint="eastAsia"/>
          <w:color w:val="auto"/>
          <w:sz w:val="24"/>
          <w:highlight w:val="none"/>
        </w:rPr>
        <w:t>常州市政府采购网</w:t>
      </w:r>
      <w:r>
        <w:rPr>
          <w:color w:val="auto"/>
          <w:sz w:val="24"/>
          <w:highlight w:val="none"/>
        </w:rPr>
        <w:t>公告成交结果，同时向成交供应商发出成交通知书，成交公告期限为1个工作日。</w:t>
      </w:r>
    </w:p>
    <w:p w14:paraId="01F32C36">
      <w:pPr>
        <w:numPr>
          <w:ilvl w:val="1"/>
          <w:numId w:val="8"/>
        </w:numPr>
        <w:tabs>
          <w:tab w:val="left" w:pos="1080"/>
          <w:tab w:val="left" w:pos="2014"/>
        </w:tabs>
        <w:spacing w:line="360" w:lineRule="auto"/>
        <w:ind w:left="1080" w:hanging="720"/>
        <w:rPr>
          <w:color w:val="auto"/>
          <w:sz w:val="24"/>
          <w:highlight w:val="none"/>
        </w:rPr>
      </w:pPr>
      <w:r>
        <w:rPr>
          <w:color w:val="auto"/>
          <w:sz w:val="24"/>
          <w:highlight w:val="none"/>
        </w:rPr>
        <w:t>成交通知书是合同的组成部分，对采购人和成交供应商具有同等法律效力。成交通知书发出后，采购人改变成交结果的，或者成交供应商放弃成交项目的，将依法承担法律责任</w:t>
      </w:r>
      <w:r>
        <w:rPr>
          <w:rFonts w:hint="eastAsia"/>
          <w:color w:val="auto"/>
          <w:sz w:val="24"/>
          <w:highlight w:val="none"/>
        </w:rPr>
        <w:t>。</w:t>
      </w:r>
    </w:p>
    <w:p w14:paraId="2A828E9B">
      <w:pPr>
        <w:numPr>
          <w:ilvl w:val="0"/>
          <w:numId w:val="8"/>
        </w:numPr>
        <w:tabs>
          <w:tab w:val="left" w:pos="360"/>
        </w:tabs>
        <w:spacing w:line="360" w:lineRule="auto"/>
        <w:ind w:left="357" w:hanging="357"/>
        <w:outlineLvl w:val="1"/>
        <w:rPr>
          <w:color w:val="auto"/>
          <w:sz w:val="24"/>
          <w:highlight w:val="none"/>
        </w:rPr>
      </w:pPr>
      <w:r>
        <w:rPr>
          <w:color w:val="auto"/>
          <w:sz w:val="24"/>
          <w:highlight w:val="none"/>
        </w:rPr>
        <w:t>终止</w:t>
      </w:r>
    </w:p>
    <w:p w14:paraId="597DFE04">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在采购中，出现下列情形之一的，采购人或采购代理机构将终止竞争性磋商采购活动，发布项目终止公告并说明原因，重新开展采购活动：</w:t>
      </w:r>
    </w:p>
    <w:p w14:paraId="1A4A4761">
      <w:pPr>
        <w:numPr>
          <w:ilvl w:val="2"/>
          <w:numId w:val="8"/>
        </w:numPr>
        <w:spacing w:line="360" w:lineRule="auto"/>
        <w:rPr>
          <w:color w:val="auto"/>
          <w:sz w:val="24"/>
          <w:highlight w:val="none"/>
        </w:rPr>
      </w:pPr>
      <w:r>
        <w:rPr>
          <w:color w:val="auto"/>
          <w:sz w:val="24"/>
          <w:highlight w:val="none"/>
        </w:rPr>
        <w:t>因情况变化，不再符合规定的竞争性磋商采购方式适用情形的；</w:t>
      </w:r>
    </w:p>
    <w:p w14:paraId="5A4B04C1">
      <w:pPr>
        <w:numPr>
          <w:ilvl w:val="2"/>
          <w:numId w:val="8"/>
        </w:numPr>
        <w:spacing w:line="360" w:lineRule="auto"/>
        <w:rPr>
          <w:color w:val="auto"/>
          <w:sz w:val="24"/>
          <w:highlight w:val="none"/>
        </w:rPr>
      </w:pPr>
      <w:r>
        <w:rPr>
          <w:color w:val="auto"/>
          <w:sz w:val="24"/>
          <w:highlight w:val="none"/>
        </w:rPr>
        <w:t>出现影响采购公正的违法、违规行为的；</w:t>
      </w:r>
    </w:p>
    <w:p w14:paraId="1E4B2BF6">
      <w:pPr>
        <w:numPr>
          <w:ilvl w:val="2"/>
          <w:numId w:val="8"/>
        </w:numPr>
        <w:spacing w:line="360" w:lineRule="auto"/>
        <w:rPr>
          <w:color w:val="auto"/>
          <w:sz w:val="24"/>
          <w:highlight w:val="none"/>
        </w:rPr>
      </w:pPr>
      <w:r>
        <w:rPr>
          <w:color w:val="auto"/>
          <w:sz w:val="24"/>
          <w:szCs w:val="20"/>
          <w:highlight w:val="none"/>
        </w:rPr>
        <w:t>除了“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95FE65A">
      <w:pPr>
        <w:numPr>
          <w:ilvl w:val="2"/>
          <w:numId w:val="8"/>
        </w:numPr>
        <w:spacing w:line="360" w:lineRule="auto"/>
        <w:rPr>
          <w:color w:val="auto"/>
          <w:sz w:val="24"/>
          <w:highlight w:val="none"/>
        </w:rPr>
      </w:pPr>
      <w:r>
        <w:rPr>
          <w:rFonts w:hint="eastAsia" w:ascii="宋体" w:hAnsi="宋体"/>
          <w:color w:val="auto"/>
          <w:spacing w:val="2"/>
          <w:sz w:val="24"/>
          <w:highlight w:val="none"/>
        </w:rPr>
        <w:t>平台系统</w:t>
      </w:r>
      <w:r>
        <w:rPr>
          <w:rFonts w:ascii="宋体" w:hAnsi="宋体"/>
          <w:color w:val="auto"/>
          <w:sz w:val="24"/>
          <w:highlight w:val="none"/>
        </w:rPr>
        <w:t>出现</w:t>
      </w:r>
      <w:r>
        <w:rPr>
          <w:rFonts w:hint="eastAsia" w:ascii="宋体" w:hAnsi="宋体"/>
          <w:color w:val="auto"/>
          <w:sz w:val="24"/>
          <w:highlight w:val="none"/>
        </w:rPr>
        <w:t>序号17.7的所述</w:t>
      </w:r>
      <w:r>
        <w:rPr>
          <w:rFonts w:ascii="宋体" w:hAnsi="宋体"/>
          <w:color w:val="auto"/>
          <w:sz w:val="24"/>
          <w:highlight w:val="none"/>
        </w:rPr>
        <w:t>情形，</w:t>
      </w:r>
      <w:r>
        <w:rPr>
          <w:rFonts w:hint="eastAsia" w:ascii="宋体" w:hAnsi="宋体"/>
          <w:color w:val="auto"/>
          <w:sz w:val="24"/>
          <w:highlight w:val="none"/>
        </w:rPr>
        <w:t>情况严重且</w:t>
      </w:r>
      <w:r>
        <w:rPr>
          <w:rFonts w:ascii="宋体" w:hAnsi="宋体"/>
          <w:color w:val="auto"/>
          <w:sz w:val="24"/>
          <w:highlight w:val="none"/>
        </w:rPr>
        <w:t>影响采购</w:t>
      </w:r>
      <w:r>
        <w:rPr>
          <w:rFonts w:hint="eastAsia" w:ascii="宋体" w:hAnsi="宋体"/>
          <w:color w:val="auto"/>
          <w:sz w:val="24"/>
          <w:highlight w:val="none"/>
        </w:rPr>
        <w:t>活动</w:t>
      </w:r>
      <w:r>
        <w:rPr>
          <w:rFonts w:ascii="宋体" w:hAnsi="宋体"/>
          <w:color w:val="auto"/>
          <w:sz w:val="24"/>
          <w:highlight w:val="none"/>
        </w:rPr>
        <w:t>公平、公正性的</w:t>
      </w:r>
      <w:r>
        <w:rPr>
          <w:rFonts w:hint="eastAsia" w:ascii="宋体" w:hAnsi="宋体"/>
          <w:color w:val="auto"/>
          <w:sz w:val="24"/>
          <w:highlight w:val="none"/>
        </w:rPr>
        <w:t>。</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298A7E3">
      <w:pPr>
        <w:numPr>
          <w:ilvl w:val="0"/>
          <w:numId w:val="8"/>
        </w:numPr>
        <w:tabs>
          <w:tab w:val="left" w:pos="360"/>
        </w:tabs>
        <w:spacing w:line="360" w:lineRule="auto"/>
        <w:ind w:left="357" w:hanging="357"/>
        <w:outlineLvl w:val="1"/>
        <w:rPr>
          <w:color w:val="auto"/>
          <w:sz w:val="24"/>
          <w:highlight w:val="none"/>
        </w:rPr>
      </w:pPr>
      <w:bookmarkStart w:id="422" w:name="_Toc142311052"/>
      <w:bookmarkStart w:id="423" w:name="_Toc127151550"/>
      <w:bookmarkStart w:id="424" w:name="_Toc164229245"/>
      <w:bookmarkStart w:id="425" w:name="_Toc127161464"/>
      <w:bookmarkStart w:id="426" w:name="_Ref467307062"/>
      <w:bookmarkStart w:id="427" w:name="_Toc164608664"/>
      <w:bookmarkStart w:id="428" w:name="_Toc164351644"/>
      <w:bookmarkStart w:id="429" w:name="_Toc127151751"/>
      <w:bookmarkStart w:id="430" w:name="_Ref467306978"/>
      <w:bookmarkStart w:id="431" w:name="_Toc150509301"/>
      <w:bookmarkStart w:id="432" w:name="_Toc164608819"/>
      <w:bookmarkStart w:id="433" w:name="_Toc305158818"/>
      <w:bookmarkStart w:id="434" w:name="_Toc151193864"/>
      <w:bookmarkStart w:id="435" w:name="_Toc150480788"/>
      <w:bookmarkStart w:id="436" w:name="_Toc151193938"/>
      <w:bookmarkStart w:id="437" w:name="_Toc226965823"/>
      <w:bookmarkStart w:id="438" w:name="_Ref467306377"/>
      <w:bookmarkStart w:id="439" w:name="_Ref467307204"/>
      <w:bookmarkStart w:id="440" w:name="_Toc226337246"/>
      <w:bookmarkStart w:id="441" w:name="_Toc151193792"/>
      <w:bookmarkStart w:id="442" w:name="_Toc265228388"/>
      <w:bookmarkStart w:id="443" w:name="_Toc520356175"/>
      <w:bookmarkStart w:id="444" w:name="_Toc151193720"/>
      <w:bookmarkStart w:id="445" w:name="_Toc195842915"/>
      <w:bookmarkStart w:id="446" w:name="_Toc164229391"/>
      <w:bookmarkStart w:id="447" w:name="_Toc226965740"/>
      <w:bookmarkStart w:id="448" w:name="_Toc264969240"/>
      <w:bookmarkStart w:id="449" w:name="_Toc151190177"/>
      <w:bookmarkStart w:id="450" w:name="_Toc149720843"/>
      <w:bookmarkStart w:id="451" w:name="_Toc226309794"/>
      <w:bookmarkStart w:id="452" w:name="_Toc151193648"/>
      <w:bookmarkStart w:id="453" w:name="_Toc305158892"/>
      <w:bookmarkStart w:id="454" w:name="_Toc150774650"/>
      <w:bookmarkStart w:id="455" w:name="_Toc150774755"/>
      <w:r>
        <w:rPr>
          <w:color w:val="auto"/>
          <w:sz w:val="24"/>
          <w:highlight w:val="none"/>
        </w:rPr>
        <w:t>签订合同</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343918B1">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3540C77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295789">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联合体获得成交资格的，联合体各方应当共同与采购人签订合同，就成交项目向采购人承担连带责任。</w:t>
      </w:r>
    </w:p>
    <w:p w14:paraId="1B04236C">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政府采购合同不能转包。</w:t>
      </w:r>
    </w:p>
    <w:p w14:paraId="6BB0A807">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采购人允许采用分包方式履行合同的，成交供应商可以依法采取分包方式履行合同。本项目</w:t>
      </w:r>
      <w:r>
        <w:rPr>
          <w:rFonts w:hint="eastAsia"/>
          <w:color w:val="auto"/>
          <w:sz w:val="24"/>
          <w:highlight w:val="none"/>
        </w:rPr>
        <w:t>是</w:t>
      </w:r>
      <w:r>
        <w:rPr>
          <w:color w:val="auto"/>
          <w:sz w:val="24"/>
          <w:highlight w:val="none"/>
        </w:rPr>
        <w:t>否允许分包，见《供应商须知资料表》。政府采购合同分包履行的，应当在响应文件中载明分包承担主体，分包承担主体应当具备相应资质条件且不得再次分包，</w:t>
      </w:r>
      <w:r>
        <w:rPr>
          <w:b/>
          <w:color w:val="auto"/>
          <w:sz w:val="24"/>
          <w:highlight w:val="none"/>
        </w:rPr>
        <w:t>否则响应无效</w:t>
      </w:r>
      <w:r>
        <w:rPr>
          <w:color w:val="auto"/>
          <w:sz w:val="24"/>
          <w:highlight w:val="none"/>
        </w:rPr>
        <w:t>。成交供应商就采购项目和分包项目向采购人负责，分包供应商就分包项目承担责任。</w:t>
      </w:r>
      <w:bookmarkEnd w:id="419"/>
      <w:bookmarkEnd w:id="420"/>
      <w:bookmarkEnd w:id="421"/>
    </w:p>
    <w:p w14:paraId="0E204E8F">
      <w:pPr>
        <w:numPr>
          <w:ilvl w:val="0"/>
          <w:numId w:val="8"/>
        </w:numPr>
        <w:tabs>
          <w:tab w:val="left" w:pos="360"/>
        </w:tabs>
        <w:spacing w:line="360" w:lineRule="auto"/>
        <w:ind w:left="357" w:hanging="357"/>
        <w:outlineLvl w:val="1"/>
        <w:rPr>
          <w:color w:val="auto"/>
          <w:sz w:val="24"/>
          <w:highlight w:val="none"/>
        </w:rPr>
      </w:pPr>
      <w:r>
        <w:rPr>
          <w:color w:val="auto"/>
          <w:sz w:val="24"/>
          <w:highlight w:val="none"/>
        </w:rPr>
        <w:t>询问与质疑</w:t>
      </w:r>
    </w:p>
    <w:p w14:paraId="5C6412EC">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询问</w:t>
      </w:r>
    </w:p>
    <w:p w14:paraId="60816F06">
      <w:pPr>
        <w:numPr>
          <w:ilvl w:val="2"/>
          <w:numId w:val="8"/>
        </w:numPr>
        <w:spacing w:line="360" w:lineRule="auto"/>
        <w:rPr>
          <w:color w:val="auto"/>
          <w:sz w:val="24"/>
          <w:highlight w:val="none"/>
        </w:rPr>
      </w:pPr>
      <w:r>
        <w:rPr>
          <w:color w:val="auto"/>
          <w:sz w:val="24"/>
          <w:highlight w:val="none"/>
        </w:rPr>
        <w:t>供应商对政府采购活动事项有疑问的，可依法提出询问，并按《供应商须知资料表》载明的形式送达采购人或采购代理机构。</w:t>
      </w:r>
    </w:p>
    <w:p w14:paraId="428D6C24">
      <w:pPr>
        <w:numPr>
          <w:ilvl w:val="2"/>
          <w:numId w:val="8"/>
        </w:numPr>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0D89DE90">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质疑</w:t>
      </w:r>
    </w:p>
    <w:p w14:paraId="0DEACCEF">
      <w:pPr>
        <w:numPr>
          <w:ilvl w:val="2"/>
          <w:numId w:val="8"/>
        </w:numPr>
        <w:spacing w:line="360" w:lineRule="auto"/>
        <w:rPr>
          <w:color w:val="auto"/>
          <w:sz w:val="24"/>
          <w:highlight w:val="none"/>
        </w:rPr>
      </w:pPr>
      <w:r>
        <w:rPr>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2C870758">
      <w:pPr>
        <w:numPr>
          <w:ilvl w:val="2"/>
          <w:numId w:val="8"/>
        </w:numPr>
        <w:spacing w:line="360" w:lineRule="auto"/>
        <w:rPr>
          <w:color w:val="auto"/>
          <w:sz w:val="24"/>
          <w:highlight w:val="none"/>
        </w:rPr>
      </w:pPr>
      <w:r>
        <w:rPr>
          <w:rFonts w:hint="eastAsia"/>
          <w:b/>
          <w:color w:val="auto"/>
          <w:sz w:val="24"/>
          <w:highlight w:val="none"/>
        </w:rPr>
        <w:t>磋商文件</w:t>
      </w:r>
      <w:r>
        <w:rPr>
          <w:rFonts w:hint="eastAsia" w:ascii="宋体" w:hAnsi="宋体"/>
          <w:b/>
          <w:color w:val="auto"/>
          <w:sz w:val="24"/>
          <w:highlight w:val="none"/>
        </w:rPr>
        <w:t>中采购需求以及相关部分（第四章、第五章以及供应商资格要求）由采购人负责制定和管理，对该部分内容有询问或者质疑的，供应商应当向采购人书面提出，由采购人负责接收和回复。</w:t>
      </w:r>
    </w:p>
    <w:p w14:paraId="1C91DF5C">
      <w:pPr>
        <w:numPr>
          <w:ilvl w:val="2"/>
          <w:numId w:val="8"/>
        </w:numPr>
        <w:spacing w:line="360" w:lineRule="auto"/>
        <w:rPr>
          <w:color w:val="auto"/>
          <w:sz w:val="24"/>
          <w:highlight w:val="none"/>
        </w:rPr>
      </w:pPr>
      <w:r>
        <w:rPr>
          <w:color w:val="auto"/>
          <w:sz w:val="24"/>
          <w:highlight w:val="none"/>
        </w:rPr>
        <w:t>质疑函须使用财政部制定的范本文件。</w:t>
      </w:r>
      <w:r>
        <w:rPr>
          <w:rFonts w:hint="eastAsia"/>
          <w:color w:val="auto"/>
          <w:sz w:val="24"/>
          <w:highlight w:val="none"/>
        </w:rPr>
        <w:t>（下载网址：</w:t>
      </w:r>
      <w:r>
        <w:rPr>
          <w:color w:val="auto"/>
          <w:highlight w:val="none"/>
        </w:rPr>
        <w:fldChar w:fldCharType="begin"/>
      </w:r>
      <w:r>
        <w:rPr>
          <w:color w:val="auto"/>
          <w:highlight w:val="none"/>
        </w:rPr>
        <w:instrText xml:space="preserve"> HYPERLINK "http://gks.mof.gov.cn/ztztz/zhengfucaigouguanli/201802/t20180201_2804589.htm" </w:instrText>
      </w:r>
      <w:r>
        <w:rPr>
          <w:color w:val="auto"/>
          <w:highlight w:val="none"/>
        </w:rPr>
        <w:fldChar w:fldCharType="separate"/>
      </w:r>
      <w:r>
        <w:rPr>
          <w:rStyle w:val="315"/>
          <w:color w:val="auto"/>
          <w:highlight w:val="none"/>
        </w:rPr>
        <w:t>http://gk</w:t>
      </w:r>
      <w:bookmarkStart w:id="456" w:name="_Hlt100654014"/>
      <w:r>
        <w:rPr>
          <w:rStyle w:val="315"/>
          <w:color w:val="auto"/>
          <w:highlight w:val="none"/>
        </w:rPr>
        <w:t>s</w:t>
      </w:r>
      <w:bookmarkEnd w:id="456"/>
      <w:r>
        <w:rPr>
          <w:rStyle w:val="315"/>
          <w:color w:val="auto"/>
          <w:highlight w:val="none"/>
        </w:rPr>
        <w:t>.m</w:t>
      </w:r>
      <w:bookmarkStart w:id="457" w:name="_Hlt100653993"/>
      <w:bookmarkStart w:id="458" w:name="_Hlt100653994"/>
      <w:r>
        <w:rPr>
          <w:rStyle w:val="315"/>
          <w:color w:val="auto"/>
          <w:highlight w:val="none"/>
        </w:rPr>
        <w:t>o</w:t>
      </w:r>
      <w:bookmarkEnd w:id="457"/>
      <w:bookmarkEnd w:id="458"/>
      <w:bookmarkStart w:id="459" w:name="_Hlt101169156"/>
      <w:r>
        <w:rPr>
          <w:rStyle w:val="315"/>
          <w:color w:val="auto"/>
          <w:highlight w:val="none"/>
        </w:rPr>
        <w:t>f</w:t>
      </w:r>
      <w:bookmarkEnd w:id="459"/>
      <w:r>
        <w:rPr>
          <w:rStyle w:val="315"/>
          <w:color w:val="auto"/>
          <w:highlight w:val="none"/>
        </w:rPr>
        <w:t>.gov.cn/ztztz/zhengfucaigouguanli/201802/t20180201_2804589.htm</w:t>
      </w:r>
      <w:r>
        <w:rPr>
          <w:color w:val="auto"/>
          <w:highlight w:val="none"/>
        </w:rPr>
        <w:fldChar w:fldCharType="end"/>
      </w:r>
      <w:r>
        <w:rPr>
          <w:rFonts w:hint="eastAsia"/>
          <w:color w:val="auto"/>
          <w:highlight w:val="none"/>
        </w:rPr>
        <w:t>）</w:t>
      </w:r>
    </w:p>
    <w:p w14:paraId="4D0C7709">
      <w:pPr>
        <w:numPr>
          <w:ilvl w:val="2"/>
          <w:numId w:val="8"/>
        </w:numPr>
        <w:spacing w:line="360" w:lineRule="auto"/>
        <w:rPr>
          <w:color w:val="auto"/>
          <w:sz w:val="24"/>
          <w:highlight w:val="none"/>
        </w:rPr>
      </w:pPr>
      <w:r>
        <w:rPr>
          <w:color w:val="auto"/>
          <w:sz w:val="24"/>
          <w:highlight w:val="none"/>
        </w:rPr>
        <w:t>供应商为自然人的，应当由本人签字；供应商为法人或者其他组织的，应当由法定代表人、主要负责人，或者其授权代表签字或者盖章，并加盖公章。</w:t>
      </w:r>
    </w:p>
    <w:p w14:paraId="62840A5B">
      <w:pPr>
        <w:numPr>
          <w:ilvl w:val="2"/>
          <w:numId w:val="8"/>
        </w:numPr>
        <w:spacing w:line="360" w:lineRule="auto"/>
        <w:rPr>
          <w:color w:val="auto"/>
          <w:sz w:val="24"/>
          <w:highlight w:val="none"/>
        </w:rPr>
      </w:pPr>
      <w:r>
        <w:rPr>
          <w:color w:val="auto"/>
          <w:sz w:val="24"/>
          <w:highlight w:val="none"/>
        </w:rPr>
        <w:t>供应商应在法定质疑期内一次性提出针对同一采购程序环节的质疑，法定质疑期内针对同一采购程序环节再次提出的质疑，采购人、采购代理机构有权不予答复。</w:t>
      </w:r>
    </w:p>
    <w:p w14:paraId="11E629A5">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接收询问和质疑的联系部门、联系电话和通讯地址见《供应商须知资料表》</w:t>
      </w:r>
      <w:r>
        <w:rPr>
          <w:rFonts w:hint="eastAsia"/>
          <w:color w:val="auto"/>
          <w:sz w:val="24"/>
          <w:highlight w:val="none"/>
        </w:rPr>
        <w:t>。</w:t>
      </w:r>
    </w:p>
    <w:p w14:paraId="1647757B">
      <w:pPr>
        <w:numPr>
          <w:ilvl w:val="0"/>
          <w:numId w:val="8"/>
        </w:numPr>
        <w:tabs>
          <w:tab w:val="left" w:pos="360"/>
        </w:tabs>
        <w:spacing w:line="360" w:lineRule="auto"/>
        <w:ind w:left="357" w:hanging="357"/>
        <w:outlineLvl w:val="1"/>
        <w:rPr>
          <w:color w:val="auto"/>
          <w:sz w:val="24"/>
          <w:highlight w:val="none"/>
        </w:rPr>
      </w:pPr>
      <w:r>
        <w:rPr>
          <w:color w:val="auto"/>
          <w:sz w:val="24"/>
          <w:highlight w:val="none"/>
        </w:rPr>
        <w:t>代理费</w:t>
      </w:r>
    </w:p>
    <w:p w14:paraId="36266342">
      <w:pPr>
        <w:numPr>
          <w:ilvl w:val="1"/>
          <w:numId w:val="8"/>
        </w:numPr>
        <w:tabs>
          <w:tab w:val="left" w:pos="1080"/>
          <w:tab w:val="left" w:pos="2014"/>
        </w:tabs>
        <w:spacing w:line="360" w:lineRule="auto"/>
        <w:ind w:left="1077" w:hanging="720"/>
        <w:rPr>
          <w:color w:val="auto"/>
          <w:sz w:val="24"/>
          <w:highlight w:val="none"/>
        </w:rPr>
      </w:pPr>
      <w:r>
        <w:rPr>
          <w:color w:val="auto"/>
          <w:sz w:val="24"/>
          <w:highlight w:val="none"/>
        </w:rPr>
        <w:t>收费对象、收费标准及缴纳时间见《供应商须知资料表》。由成交供应商支付的，成交供应商须一次性向采购代理机构缴纳代理费，报价应包含代理费用。</w:t>
      </w:r>
    </w:p>
    <w:p w14:paraId="0823CA54">
      <w:pPr>
        <w:spacing w:line="360" w:lineRule="auto"/>
        <w:jc w:val="center"/>
        <w:outlineLvl w:val="0"/>
        <w:rPr>
          <w:b/>
          <w:color w:val="auto"/>
          <w:sz w:val="36"/>
          <w:szCs w:val="36"/>
          <w:highlight w:val="none"/>
        </w:rPr>
      </w:pPr>
      <w:bookmarkStart w:id="460" w:name="_Toc265228392"/>
      <w:bookmarkStart w:id="461" w:name="_Toc305158822"/>
      <w:bookmarkStart w:id="462" w:name="_Toc127151554"/>
      <w:bookmarkStart w:id="463" w:name="_Toc353873664"/>
      <w:bookmarkStart w:id="464" w:name="_Toc142311056"/>
      <w:bookmarkStart w:id="465" w:name="_Toc150480792"/>
      <w:bookmarkStart w:id="466" w:name="_Toc226965827"/>
      <w:bookmarkStart w:id="467" w:name="_Toc353873934"/>
      <w:bookmarkStart w:id="468" w:name="_Toc305158896"/>
      <w:bookmarkStart w:id="469" w:name="_Toc353825544"/>
      <w:bookmarkStart w:id="470" w:name="_Toc226337250"/>
      <w:bookmarkStart w:id="471" w:name="_Toc264969244"/>
      <w:bookmarkStart w:id="472" w:name="_Toc150774759"/>
      <w:bookmarkStart w:id="473" w:name="_Toc104818927"/>
      <w:r>
        <w:rPr>
          <w:b/>
          <w:color w:val="auto"/>
          <w:sz w:val="36"/>
          <w:szCs w:val="36"/>
          <w:highlight w:val="none"/>
        </w:rPr>
        <w:br w:type="page" w:clear="all"/>
      </w:r>
      <w:bookmarkStart w:id="474" w:name="_Toc15679"/>
      <w:r>
        <w:rPr>
          <w:b/>
          <w:color w:val="auto"/>
          <w:sz w:val="36"/>
          <w:szCs w:val="36"/>
          <w:highlight w:val="none"/>
        </w:rPr>
        <w:t xml:space="preserve">第三章   </w:t>
      </w:r>
      <w:bookmarkEnd w:id="460"/>
      <w:bookmarkEnd w:id="461"/>
      <w:bookmarkEnd w:id="462"/>
      <w:bookmarkEnd w:id="463"/>
      <w:bookmarkEnd w:id="464"/>
      <w:bookmarkEnd w:id="465"/>
      <w:bookmarkEnd w:id="466"/>
      <w:bookmarkEnd w:id="467"/>
      <w:bookmarkEnd w:id="468"/>
      <w:bookmarkEnd w:id="469"/>
      <w:bookmarkEnd w:id="470"/>
      <w:bookmarkEnd w:id="471"/>
      <w:bookmarkEnd w:id="472"/>
      <w:r>
        <w:rPr>
          <w:b/>
          <w:color w:val="auto"/>
          <w:sz w:val="36"/>
          <w:szCs w:val="36"/>
          <w:highlight w:val="none"/>
        </w:rPr>
        <w:t>评审</w:t>
      </w:r>
      <w:r>
        <w:rPr>
          <w:rFonts w:hint="eastAsia"/>
          <w:b/>
          <w:color w:val="auto"/>
          <w:sz w:val="36"/>
          <w:szCs w:val="36"/>
          <w:highlight w:val="none"/>
        </w:rPr>
        <w:t>程序、评审</w:t>
      </w:r>
      <w:r>
        <w:rPr>
          <w:b/>
          <w:color w:val="auto"/>
          <w:sz w:val="36"/>
          <w:szCs w:val="36"/>
          <w:highlight w:val="none"/>
        </w:rPr>
        <w:t>方法和评审标准</w:t>
      </w:r>
      <w:bookmarkEnd w:id="473"/>
      <w:bookmarkEnd w:id="474"/>
      <w:bookmarkStart w:id="475" w:name="_Toc487900382"/>
    </w:p>
    <w:p w14:paraId="7AD1E46B">
      <w:pPr>
        <w:pStyle w:val="239"/>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w:t>
      </w:r>
      <w:r>
        <w:rPr>
          <w:rFonts w:hint="eastAsia" w:ascii="Times New Roman" w:hAnsi="Times New Roman" w:eastAsia="宋体"/>
          <w:color w:val="auto"/>
          <w:sz w:val="24"/>
          <w:szCs w:val="24"/>
          <w:highlight w:val="none"/>
        </w:rPr>
        <w:t>评审</w:t>
      </w:r>
      <w:r>
        <w:rPr>
          <w:rFonts w:ascii="Times New Roman" w:hAnsi="Times New Roman" w:eastAsia="宋体"/>
          <w:color w:val="auto"/>
          <w:sz w:val="24"/>
          <w:szCs w:val="24"/>
          <w:highlight w:val="none"/>
        </w:rPr>
        <w:t>程序</w:t>
      </w:r>
    </w:p>
    <w:p w14:paraId="6A861022">
      <w:pPr>
        <w:tabs>
          <w:tab w:val="left" w:pos="1080"/>
        </w:tabs>
        <w:jc w:val="left"/>
        <w:rPr>
          <w:b/>
          <w:color w:val="auto"/>
          <w:sz w:val="24"/>
          <w:highlight w:val="none"/>
        </w:rPr>
      </w:pPr>
      <w:r>
        <w:rPr>
          <w:b/>
          <w:color w:val="auto"/>
          <w:sz w:val="24"/>
          <w:highlight w:val="none"/>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75"/>
    </w:p>
    <w:p w14:paraId="13FCD034">
      <w:pPr>
        <w:numPr>
          <w:ilvl w:val="0"/>
          <w:numId w:val="10"/>
        </w:numPr>
        <w:tabs>
          <w:tab w:val="left" w:pos="360"/>
        </w:tabs>
        <w:spacing w:line="360" w:lineRule="auto"/>
        <w:outlineLvl w:val="1"/>
        <w:rPr>
          <w:color w:val="auto"/>
          <w:sz w:val="24"/>
          <w:highlight w:val="none"/>
        </w:rPr>
      </w:pPr>
      <w:bookmarkStart w:id="476" w:name="_Toc195842906"/>
      <w:bookmarkStart w:id="477" w:name="_Toc226337237"/>
      <w:bookmarkStart w:id="478" w:name="_Toc164229236"/>
      <w:bookmarkStart w:id="479" w:name="_Toc150774746"/>
      <w:bookmarkStart w:id="480" w:name="_Toc127161455"/>
      <w:bookmarkStart w:id="481" w:name="_Toc127151742"/>
      <w:bookmarkStart w:id="482" w:name="_Toc142311043"/>
      <w:bookmarkStart w:id="483" w:name="_Toc305158883"/>
      <w:bookmarkStart w:id="484" w:name="_Toc151193711"/>
      <w:bookmarkStart w:id="485" w:name="_Toc264969231"/>
      <w:bookmarkStart w:id="486" w:name="_Toc151193929"/>
      <w:bookmarkStart w:id="487" w:name="_Toc149720834"/>
      <w:bookmarkStart w:id="488" w:name="_Toc226309785"/>
      <w:bookmarkStart w:id="489" w:name="_Toc226965731"/>
      <w:bookmarkStart w:id="490" w:name="_Toc127151541"/>
      <w:bookmarkStart w:id="491" w:name="_Toc164229382"/>
      <w:bookmarkStart w:id="492" w:name="_Toc150480779"/>
      <w:bookmarkStart w:id="493" w:name="_Toc150774641"/>
      <w:bookmarkStart w:id="494" w:name="_Toc151190168"/>
      <w:bookmarkStart w:id="495" w:name="_Toc305158809"/>
      <w:bookmarkStart w:id="496" w:name="_Toc151193855"/>
      <w:bookmarkStart w:id="497" w:name="_Toc150509292"/>
      <w:bookmarkStart w:id="498" w:name="_Toc265228379"/>
      <w:bookmarkStart w:id="499" w:name="_Toc164608810"/>
      <w:bookmarkStart w:id="500" w:name="_Toc151193639"/>
      <w:bookmarkStart w:id="501" w:name="_Toc151193783"/>
      <w:bookmarkStart w:id="502" w:name="_Toc226965814"/>
      <w:bookmarkStart w:id="503" w:name="_Toc164608655"/>
      <w:bookmarkStart w:id="504" w:name="_Toc164351635"/>
      <w:bookmarkStart w:id="505" w:name="_Toc353825551"/>
      <w:bookmarkStart w:id="506" w:name="_Toc353873941"/>
      <w:bookmarkStart w:id="507" w:name="_Toc226965828"/>
      <w:bookmarkStart w:id="508" w:name="_Toc150774760"/>
      <w:bookmarkStart w:id="509" w:name="_Toc195842920"/>
      <w:bookmarkStart w:id="510" w:name="_Toc305158823"/>
      <w:bookmarkStart w:id="511" w:name="_Toc142311057"/>
      <w:bookmarkStart w:id="512" w:name="_Toc305158897"/>
      <w:bookmarkStart w:id="513" w:name="_Toc150480793"/>
      <w:bookmarkStart w:id="514" w:name="_Toc264969245"/>
      <w:bookmarkStart w:id="515" w:name="_Toc127151555"/>
      <w:bookmarkStart w:id="516" w:name="_Toc353825545"/>
      <w:bookmarkStart w:id="517" w:name="_Toc353873935"/>
      <w:bookmarkStart w:id="518" w:name="_Toc226337251"/>
      <w:bookmarkStart w:id="519" w:name="_Toc353873665"/>
      <w:bookmarkStart w:id="520" w:name="_Toc265228393"/>
      <w:r>
        <w:rPr>
          <w:color w:val="auto"/>
          <w:sz w:val="24"/>
          <w:highlight w:val="none"/>
        </w:rPr>
        <w:t>响应文件的</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color w:val="auto"/>
          <w:sz w:val="24"/>
          <w:highlight w:val="none"/>
        </w:rPr>
        <w:t>资格性检查和符合性审查</w:t>
      </w:r>
    </w:p>
    <w:p w14:paraId="464DBB30">
      <w:pPr>
        <w:numPr>
          <w:ilvl w:val="1"/>
          <w:numId w:val="10"/>
        </w:numPr>
        <w:tabs>
          <w:tab w:val="left" w:pos="1080"/>
        </w:tabs>
        <w:spacing w:line="360" w:lineRule="auto"/>
        <w:ind w:left="1140" w:hanging="720"/>
        <w:rPr>
          <w:color w:val="auto"/>
          <w:sz w:val="24"/>
          <w:highlight w:val="none"/>
        </w:rPr>
      </w:pPr>
      <w:r>
        <w:rPr>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color w:val="auto"/>
          <w:sz w:val="24"/>
          <w:highlight w:val="none"/>
        </w:rPr>
        <w:t>无效响应</w:t>
      </w:r>
      <w:r>
        <w:rPr>
          <w:color w:val="auto"/>
          <w:sz w:val="24"/>
          <w:highlight w:val="none"/>
        </w:rPr>
        <w:t>处理，磋商小组应当告知提交响应文件的供应商。</w:t>
      </w:r>
    </w:p>
    <w:p w14:paraId="15D1911A">
      <w:pPr>
        <w:numPr>
          <w:ilvl w:val="1"/>
          <w:numId w:val="10"/>
        </w:numPr>
        <w:tabs>
          <w:tab w:val="left" w:pos="1080"/>
        </w:tabs>
        <w:spacing w:line="360" w:lineRule="auto"/>
        <w:ind w:left="1140" w:hanging="720"/>
        <w:rPr>
          <w:color w:val="auto"/>
          <w:sz w:val="24"/>
          <w:highlight w:val="none"/>
        </w:rPr>
      </w:pPr>
      <w:r>
        <w:rPr>
          <w:color w:val="auto"/>
          <w:sz w:val="24"/>
          <w:highlight w:val="none"/>
        </w:rPr>
        <w:t>《资格性检查要求》中对格式有要求的，除竞争性磋商文件另有规定外，均为“实质性格式”文件。</w:t>
      </w:r>
    </w:p>
    <w:p w14:paraId="6FD18177">
      <w:pPr>
        <w:numPr>
          <w:ilvl w:val="1"/>
          <w:numId w:val="10"/>
        </w:numPr>
        <w:tabs>
          <w:tab w:val="left" w:pos="1080"/>
        </w:tabs>
        <w:spacing w:line="360" w:lineRule="auto"/>
        <w:ind w:left="1140" w:hanging="720"/>
        <w:rPr>
          <w:color w:val="auto"/>
          <w:sz w:val="24"/>
          <w:highlight w:val="none"/>
        </w:rPr>
      </w:pPr>
      <w:r>
        <w:rPr>
          <w:color w:val="auto"/>
          <w:sz w:val="24"/>
          <w:highlight w:val="none"/>
        </w:rPr>
        <w:t>《资格性检查要求》见下表：</w:t>
      </w:r>
    </w:p>
    <w:p w14:paraId="7B44CB32">
      <w:pPr>
        <w:tabs>
          <w:tab w:val="left" w:pos="900"/>
          <w:tab w:val="left" w:pos="1080"/>
        </w:tabs>
        <w:spacing w:line="360" w:lineRule="auto"/>
        <w:ind w:left="1077" w:firstLine="2650"/>
        <w:rPr>
          <w:b/>
          <w:color w:val="auto"/>
          <w:sz w:val="24"/>
          <w:highlight w:val="none"/>
        </w:rPr>
      </w:pPr>
      <w:r>
        <w:rPr>
          <w:b/>
          <w:color w:val="auto"/>
          <w:sz w:val="24"/>
          <w:highlight w:val="none"/>
        </w:rPr>
        <w:t>资格性检查要求</w:t>
      </w:r>
    </w:p>
    <w:tbl>
      <w:tblPr>
        <w:tblStyle w:val="38"/>
        <w:tblW w:w="5000" w:type="pct"/>
        <w:tblInd w:w="-3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2234"/>
        <w:gridCol w:w="4967"/>
        <w:gridCol w:w="1916"/>
      </w:tblGrid>
      <w:tr w14:paraId="5C759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738" w:type="dxa"/>
            <w:noWrap w:val="0"/>
            <w:vAlign w:val="center"/>
          </w:tcPr>
          <w:p w14:paraId="06B583BA">
            <w:pPr>
              <w:tabs>
                <w:tab w:val="left" w:pos="1080"/>
              </w:tabs>
              <w:jc w:val="center"/>
              <w:rPr>
                <w:b/>
                <w:color w:val="auto"/>
                <w:sz w:val="24"/>
                <w:highlight w:val="none"/>
              </w:rPr>
            </w:pPr>
            <w:bookmarkStart w:id="521" w:name="_Hlt487972895"/>
            <w:bookmarkEnd w:id="521"/>
            <w:r>
              <w:rPr>
                <w:b/>
                <w:color w:val="auto"/>
                <w:sz w:val="24"/>
                <w:highlight w:val="none"/>
              </w:rPr>
              <w:t>序号</w:t>
            </w:r>
          </w:p>
        </w:tc>
        <w:tc>
          <w:tcPr>
            <w:tcW w:w="2234" w:type="dxa"/>
            <w:noWrap w:val="0"/>
            <w:vAlign w:val="center"/>
          </w:tcPr>
          <w:p w14:paraId="64B446CD">
            <w:pPr>
              <w:tabs>
                <w:tab w:val="left" w:pos="1080"/>
              </w:tabs>
              <w:jc w:val="center"/>
              <w:rPr>
                <w:b/>
                <w:color w:val="auto"/>
                <w:sz w:val="24"/>
                <w:highlight w:val="none"/>
              </w:rPr>
            </w:pPr>
            <w:r>
              <w:rPr>
                <w:b/>
                <w:color w:val="auto"/>
                <w:sz w:val="24"/>
                <w:highlight w:val="none"/>
              </w:rPr>
              <w:t>审查因素</w:t>
            </w:r>
          </w:p>
        </w:tc>
        <w:tc>
          <w:tcPr>
            <w:tcW w:w="4967" w:type="dxa"/>
            <w:noWrap w:val="0"/>
            <w:vAlign w:val="center"/>
          </w:tcPr>
          <w:p w14:paraId="2DD9797F">
            <w:pPr>
              <w:tabs>
                <w:tab w:val="left" w:pos="1080"/>
              </w:tabs>
              <w:jc w:val="center"/>
              <w:rPr>
                <w:b/>
                <w:color w:val="auto"/>
                <w:sz w:val="24"/>
                <w:highlight w:val="none"/>
              </w:rPr>
            </w:pPr>
            <w:r>
              <w:rPr>
                <w:b/>
                <w:color w:val="auto"/>
                <w:sz w:val="24"/>
                <w:highlight w:val="none"/>
              </w:rPr>
              <w:t>审查内容</w:t>
            </w:r>
          </w:p>
        </w:tc>
        <w:tc>
          <w:tcPr>
            <w:tcW w:w="1916" w:type="dxa"/>
            <w:noWrap w:val="0"/>
            <w:vAlign w:val="center"/>
          </w:tcPr>
          <w:p w14:paraId="3B84CA9C">
            <w:pPr>
              <w:tabs>
                <w:tab w:val="left" w:pos="1080"/>
              </w:tabs>
              <w:jc w:val="center"/>
              <w:rPr>
                <w:b/>
                <w:color w:val="auto"/>
                <w:sz w:val="24"/>
                <w:highlight w:val="none"/>
              </w:rPr>
            </w:pPr>
            <w:r>
              <w:rPr>
                <w:b/>
                <w:color w:val="auto"/>
                <w:sz w:val="24"/>
                <w:highlight w:val="none"/>
              </w:rPr>
              <w:t>格式要求</w:t>
            </w:r>
          </w:p>
        </w:tc>
      </w:tr>
      <w:tr w14:paraId="7F6B5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38" w:type="dxa"/>
            <w:noWrap w:val="0"/>
            <w:vAlign w:val="center"/>
          </w:tcPr>
          <w:p w14:paraId="31550B06">
            <w:pPr>
              <w:tabs>
                <w:tab w:val="left" w:pos="1080"/>
              </w:tabs>
              <w:jc w:val="center"/>
              <w:rPr>
                <w:color w:val="auto"/>
                <w:sz w:val="24"/>
                <w:highlight w:val="none"/>
              </w:rPr>
            </w:pPr>
            <w:r>
              <w:rPr>
                <w:color w:val="auto"/>
                <w:sz w:val="24"/>
                <w:highlight w:val="none"/>
              </w:rPr>
              <w:t>1</w:t>
            </w:r>
          </w:p>
        </w:tc>
        <w:tc>
          <w:tcPr>
            <w:tcW w:w="2234" w:type="dxa"/>
            <w:noWrap w:val="0"/>
            <w:vAlign w:val="center"/>
          </w:tcPr>
          <w:p w14:paraId="18CE7FC7">
            <w:pPr>
              <w:tabs>
                <w:tab w:val="left" w:pos="1080"/>
              </w:tabs>
              <w:rPr>
                <w:color w:val="auto"/>
                <w:sz w:val="24"/>
                <w:highlight w:val="none"/>
              </w:rPr>
            </w:pPr>
            <w:r>
              <w:rPr>
                <w:color w:val="auto"/>
                <w:sz w:val="24"/>
                <w:highlight w:val="none"/>
              </w:rPr>
              <w:t>满足《中华人民共和国政府采购法》第二十二条规定及法律法规的其他规定</w:t>
            </w:r>
          </w:p>
        </w:tc>
        <w:tc>
          <w:tcPr>
            <w:tcW w:w="4967" w:type="dxa"/>
            <w:noWrap w:val="0"/>
            <w:vAlign w:val="center"/>
          </w:tcPr>
          <w:p w14:paraId="172E5E00">
            <w:pPr>
              <w:tabs>
                <w:tab w:val="left" w:pos="1080"/>
              </w:tabs>
              <w:rPr>
                <w:color w:val="auto"/>
                <w:sz w:val="24"/>
                <w:highlight w:val="none"/>
              </w:rPr>
            </w:pPr>
            <w:r>
              <w:rPr>
                <w:color w:val="auto"/>
                <w:sz w:val="24"/>
                <w:highlight w:val="none"/>
              </w:rPr>
              <w:t>具体规定见第一章《采购邀请》</w:t>
            </w:r>
          </w:p>
        </w:tc>
        <w:tc>
          <w:tcPr>
            <w:tcW w:w="1916" w:type="dxa"/>
            <w:noWrap w:val="0"/>
            <w:vAlign w:val="center"/>
          </w:tcPr>
          <w:p w14:paraId="6799C886">
            <w:pPr>
              <w:tabs>
                <w:tab w:val="left" w:pos="1080"/>
              </w:tabs>
              <w:rPr>
                <w:color w:val="auto"/>
                <w:sz w:val="24"/>
                <w:highlight w:val="none"/>
              </w:rPr>
            </w:pPr>
          </w:p>
        </w:tc>
      </w:tr>
      <w:tr w14:paraId="24964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38" w:type="dxa"/>
            <w:noWrap w:val="0"/>
            <w:vAlign w:val="center"/>
          </w:tcPr>
          <w:p w14:paraId="247834A6">
            <w:pPr>
              <w:tabs>
                <w:tab w:val="left" w:pos="1080"/>
              </w:tabs>
              <w:jc w:val="center"/>
              <w:rPr>
                <w:color w:val="auto"/>
                <w:sz w:val="24"/>
                <w:highlight w:val="none"/>
              </w:rPr>
            </w:pPr>
            <w:r>
              <w:rPr>
                <w:color w:val="auto"/>
                <w:sz w:val="24"/>
                <w:highlight w:val="none"/>
              </w:rPr>
              <w:t>1-1</w:t>
            </w:r>
          </w:p>
        </w:tc>
        <w:tc>
          <w:tcPr>
            <w:tcW w:w="2234" w:type="dxa"/>
            <w:noWrap w:val="0"/>
            <w:vAlign w:val="center"/>
          </w:tcPr>
          <w:p w14:paraId="78CD3018">
            <w:pPr>
              <w:tabs>
                <w:tab w:val="left" w:pos="1080"/>
              </w:tabs>
              <w:rPr>
                <w:color w:val="auto"/>
                <w:sz w:val="24"/>
                <w:highlight w:val="none"/>
              </w:rPr>
            </w:pPr>
            <w:r>
              <w:rPr>
                <w:rFonts w:hint="eastAsia"/>
                <w:color w:val="auto"/>
                <w:sz w:val="24"/>
                <w:highlight w:val="none"/>
              </w:rPr>
              <w:t>供应商资格声明函</w:t>
            </w:r>
          </w:p>
        </w:tc>
        <w:tc>
          <w:tcPr>
            <w:tcW w:w="4967" w:type="dxa"/>
            <w:noWrap w:val="0"/>
            <w:vAlign w:val="center"/>
          </w:tcPr>
          <w:p w14:paraId="790E03CE">
            <w:pPr>
              <w:tabs>
                <w:tab w:val="left" w:pos="1080"/>
              </w:tabs>
              <w:rPr>
                <w:color w:val="auto"/>
                <w:sz w:val="24"/>
                <w:highlight w:val="none"/>
              </w:rPr>
            </w:pPr>
            <w:r>
              <w:rPr>
                <w:color w:val="auto"/>
                <w:sz w:val="24"/>
                <w:highlight w:val="none"/>
              </w:rPr>
              <w:t>提供了符合</w:t>
            </w:r>
            <w:r>
              <w:rPr>
                <w:rFonts w:hint="eastAsia"/>
                <w:color w:val="auto"/>
                <w:sz w:val="24"/>
                <w:highlight w:val="none"/>
              </w:rPr>
              <w:t>采购</w:t>
            </w:r>
            <w:r>
              <w:rPr>
                <w:color w:val="auto"/>
                <w:sz w:val="24"/>
                <w:highlight w:val="none"/>
              </w:rPr>
              <w:t>文件要求的《</w:t>
            </w:r>
            <w:r>
              <w:rPr>
                <w:rFonts w:hint="eastAsia"/>
                <w:color w:val="auto"/>
                <w:sz w:val="24"/>
                <w:highlight w:val="none"/>
              </w:rPr>
              <w:t>供应商资格声明函</w:t>
            </w:r>
            <w:r>
              <w:rPr>
                <w:color w:val="auto"/>
                <w:sz w:val="24"/>
                <w:highlight w:val="none"/>
              </w:rPr>
              <w:t>》。</w:t>
            </w:r>
          </w:p>
        </w:tc>
        <w:tc>
          <w:tcPr>
            <w:tcW w:w="1916" w:type="dxa"/>
            <w:noWrap w:val="0"/>
            <w:vAlign w:val="center"/>
          </w:tcPr>
          <w:p w14:paraId="21E09EC8">
            <w:pPr>
              <w:tabs>
                <w:tab w:val="left" w:pos="1080"/>
              </w:tabs>
              <w:rPr>
                <w:color w:val="auto"/>
                <w:sz w:val="24"/>
                <w:highlight w:val="none"/>
              </w:rPr>
            </w:pPr>
            <w:r>
              <w:rPr>
                <w:color w:val="auto"/>
                <w:sz w:val="24"/>
                <w:highlight w:val="none"/>
              </w:rPr>
              <w:t>格式见《</w:t>
            </w:r>
            <w:r>
              <w:rPr>
                <w:rFonts w:hint="eastAsia"/>
                <w:color w:val="auto"/>
                <w:sz w:val="24"/>
                <w:highlight w:val="none"/>
              </w:rPr>
              <w:t>响应</w:t>
            </w:r>
            <w:r>
              <w:rPr>
                <w:color w:val="auto"/>
                <w:sz w:val="24"/>
                <w:highlight w:val="none"/>
              </w:rPr>
              <w:t>文件格式》</w:t>
            </w:r>
          </w:p>
        </w:tc>
      </w:tr>
      <w:tr w14:paraId="0C5CE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738" w:type="dxa"/>
            <w:noWrap w:val="0"/>
            <w:vAlign w:val="center"/>
          </w:tcPr>
          <w:p w14:paraId="262C693E">
            <w:pPr>
              <w:tabs>
                <w:tab w:val="left" w:pos="1080"/>
              </w:tabs>
              <w:jc w:val="center"/>
              <w:rPr>
                <w:color w:val="auto"/>
                <w:sz w:val="24"/>
                <w:highlight w:val="none"/>
              </w:rPr>
            </w:pPr>
            <w:r>
              <w:rPr>
                <w:rFonts w:hint="eastAsia"/>
                <w:color w:val="auto"/>
                <w:sz w:val="24"/>
                <w:highlight w:val="none"/>
              </w:rPr>
              <w:t>1</w:t>
            </w:r>
            <w:r>
              <w:rPr>
                <w:color w:val="auto"/>
                <w:sz w:val="24"/>
                <w:highlight w:val="none"/>
              </w:rPr>
              <w:t>-</w:t>
            </w:r>
            <w:r>
              <w:rPr>
                <w:rFonts w:hint="eastAsia"/>
                <w:color w:val="auto"/>
                <w:sz w:val="24"/>
                <w:highlight w:val="none"/>
              </w:rPr>
              <w:t>2</w:t>
            </w:r>
          </w:p>
        </w:tc>
        <w:tc>
          <w:tcPr>
            <w:tcW w:w="2234" w:type="dxa"/>
            <w:noWrap w:val="0"/>
            <w:vAlign w:val="center"/>
          </w:tcPr>
          <w:p w14:paraId="62921A4F">
            <w:pPr>
              <w:tabs>
                <w:tab w:val="left" w:pos="1080"/>
              </w:tabs>
              <w:rPr>
                <w:color w:val="auto"/>
                <w:sz w:val="24"/>
                <w:highlight w:val="none"/>
              </w:rPr>
            </w:pPr>
            <w:r>
              <w:rPr>
                <w:color w:val="auto"/>
                <w:sz w:val="24"/>
                <w:highlight w:val="none"/>
              </w:rPr>
              <w:t>供应商信用记录</w:t>
            </w:r>
          </w:p>
        </w:tc>
        <w:tc>
          <w:tcPr>
            <w:tcW w:w="4967" w:type="dxa"/>
            <w:noWrap w:val="0"/>
            <w:vAlign w:val="center"/>
          </w:tcPr>
          <w:p w14:paraId="02709574">
            <w:pPr>
              <w:tabs>
                <w:tab w:val="left" w:pos="900"/>
                <w:tab w:val="left" w:pos="1980"/>
              </w:tabs>
              <w:rPr>
                <w:color w:val="auto"/>
                <w:sz w:val="24"/>
                <w:highlight w:val="none"/>
              </w:rPr>
            </w:pPr>
            <w:r>
              <w:rPr>
                <w:color w:val="auto"/>
                <w:sz w:val="24"/>
                <w:highlight w:val="none"/>
              </w:rPr>
              <w:t>查询渠道：信用中国网站和中国政府采购网（www.creditchina.gov.cn、www.ccgp.gov.cn）；</w:t>
            </w:r>
          </w:p>
          <w:p w14:paraId="49B35D03">
            <w:pPr>
              <w:tabs>
                <w:tab w:val="left" w:pos="900"/>
                <w:tab w:val="left" w:pos="1980"/>
              </w:tabs>
              <w:rPr>
                <w:color w:val="auto"/>
                <w:sz w:val="24"/>
                <w:highlight w:val="none"/>
              </w:rPr>
            </w:pPr>
            <w:r>
              <w:rPr>
                <w:color w:val="auto"/>
                <w:sz w:val="24"/>
                <w:highlight w:val="none"/>
              </w:rPr>
              <w:t>截止时点：提交响应文件截止时间以后、</w:t>
            </w:r>
            <w:r>
              <w:rPr>
                <w:rFonts w:hint="eastAsia"/>
                <w:color w:val="auto"/>
                <w:sz w:val="24"/>
                <w:highlight w:val="none"/>
              </w:rPr>
              <w:t>资格审查阶段采购人或采购代理机构</w:t>
            </w:r>
            <w:r>
              <w:rPr>
                <w:color w:val="auto"/>
                <w:sz w:val="24"/>
                <w:highlight w:val="none"/>
              </w:rPr>
              <w:t>的实际查询时间；</w:t>
            </w:r>
          </w:p>
          <w:p w14:paraId="70117B33">
            <w:pPr>
              <w:tabs>
                <w:tab w:val="left" w:pos="900"/>
                <w:tab w:val="left" w:pos="1980"/>
              </w:tabs>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3C88844C">
            <w:pPr>
              <w:tabs>
                <w:tab w:val="left" w:pos="1080"/>
              </w:tabs>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信用信息的使用原则：经认定的被列入失信被执行人、重大税收违法案件当事人名单、政府采购严重违法失信行为记录名单的供应商，其</w:t>
            </w:r>
            <w:r>
              <w:rPr>
                <w:b/>
                <w:color w:val="auto"/>
                <w:sz w:val="24"/>
                <w:highlight w:val="none"/>
              </w:rPr>
              <w:t>响应无效</w:t>
            </w:r>
            <w:r>
              <w:rPr>
                <w:color w:val="auto"/>
                <w:sz w:val="24"/>
                <w:highlight w:val="none"/>
              </w:rPr>
              <w:t>。联合体形式响应的，联合体成员存在不良信用记录，视同联合体存在不良信用记录。</w:t>
            </w:r>
          </w:p>
        </w:tc>
        <w:tc>
          <w:tcPr>
            <w:tcW w:w="1916" w:type="dxa"/>
            <w:noWrap w:val="0"/>
            <w:vAlign w:val="center"/>
          </w:tcPr>
          <w:p w14:paraId="6FF568E9">
            <w:pPr>
              <w:tabs>
                <w:tab w:val="left" w:pos="1080"/>
              </w:tabs>
              <w:rPr>
                <w:color w:val="auto"/>
                <w:sz w:val="24"/>
                <w:highlight w:val="none"/>
              </w:rPr>
            </w:pPr>
            <w:r>
              <w:rPr>
                <w:color w:val="auto"/>
                <w:sz w:val="24"/>
                <w:highlight w:val="none"/>
              </w:rPr>
              <w:t>无须供应商提供，由采购人</w:t>
            </w:r>
            <w:r>
              <w:rPr>
                <w:rFonts w:hint="eastAsia" w:ascii="宋体" w:hAnsi="宋体" w:cs="宋体"/>
                <w:color w:val="auto"/>
                <w:sz w:val="24"/>
                <w:highlight w:val="none"/>
              </w:rPr>
              <w:t>或采购代理机构</w:t>
            </w:r>
            <w:r>
              <w:rPr>
                <w:color w:val="auto"/>
                <w:sz w:val="24"/>
                <w:highlight w:val="none"/>
              </w:rPr>
              <w:t>查询。</w:t>
            </w:r>
          </w:p>
        </w:tc>
      </w:tr>
      <w:tr w14:paraId="2E5BC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38" w:type="dxa"/>
            <w:noWrap w:val="0"/>
            <w:vAlign w:val="center"/>
          </w:tcPr>
          <w:p w14:paraId="21FAEDCC">
            <w:pPr>
              <w:pStyle w:val="240"/>
              <w:jc w:val="center"/>
              <w:rPr>
                <w:rFonts w:ascii="Times New Roman"/>
                <w:b w:val="0"/>
                <w:color w:val="auto"/>
                <w:highlight w:val="none"/>
                <w:u w:val="none"/>
              </w:rPr>
            </w:pPr>
            <w:r>
              <w:rPr>
                <w:rFonts w:hint="eastAsia" w:ascii="Times New Roman"/>
                <w:b w:val="0"/>
                <w:color w:val="auto"/>
                <w:highlight w:val="none"/>
                <w:u w:val="none"/>
              </w:rPr>
              <w:t>1-3</w:t>
            </w:r>
          </w:p>
          <w:p w14:paraId="007A3344">
            <w:pPr>
              <w:tabs>
                <w:tab w:val="left" w:pos="1080"/>
              </w:tabs>
              <w:jc w:val="center"/>
              <w:rPr>
                <w:color w:val="auto"/>
                <w:sz w:val="24"/>
                <w:highlight w:val="none"/>
              </w:rPr>
            </w:pPr>
          </w:p>
        </w:tc>
        <w:tc>
          <w:tcPr>
            <w:tcW w:w="2234" w:type="dxa"/>
            <w:noWrap w:val="0"/>
            <w:vAlign w:val="center"/>
          </w:tcPr>
          <w:p w14:paraId="3106B346">
            <w:pPr>
              <w:pStyle w:val="240"/>
              <w:spacing w:before="0" w:after="0"/>
              <w:rPr>
                <w:color w:val="auto"/>
                <w:highlight w:val="none"/>
              </w:rPr>
            </w:pPr>
            <w:r>
              <w:rPr>
                <w:rFonts w:hint="eastAsia" w:ascii="Times New Roman"/>
                <w:b w:val="0"/>
                <w:color w:val="auto"/>
                <w:highlight w:val="none"/>
                <w:u w:val="none"/>
              </w:rPr>
              <w:t>营业执照</w:t>
            </w:r>
          </w:p>
        </w:tc>
        <w:tc>
          <w:tcPr>
            <w:tcW w:w="4967" w:type="dxa"/>
            <w:noWrap w:val="0"/>
            <w:vAlign w:val="center"/>
          </w:tcPr>
          <w:p w14:paraId="7CD9A662">
            <w:pPr>
              <w:pStyle w:val="240"/>
              <w:spacing w:before="0" w:after="0"/>
              <w:rPr>
                <w:color w:val="auto"/>
                <w:highlight w:val="none"/>
              </w:rPr>
            </w:pPr>
            <w:r>
              <w:rPr>
                <w:rFonts w:hint="eastAsia" w:ascii="Times New Roman"/>
                <w:b w:val="0"/>
                <w:color w:val="auto"/>
                <w:highlight w:val="none"/>
                <w:u w:val="none"/>
              </w:rPr>
              <w:t>提供有效的营业执照副本复印件(三证合一)</w:t>
            </w:r>
          </w:p>
        </w:tc>
        <w:tc>
          <w:tcPr>
            <w:tcW w:w="1916" w:type="dxa"/>
            <w:noWrap w:val="0"/>
            <w:vAlign w:val="center"/>
          </w:tcPr>
          <w:p w14:paraId="29F5DDE1">
            <w:pPr>
              <w:tabs>
                <w:tab w:val="left" w:pos="1080"/>
              </w:tabs>
              <w:rPr>
                <w:color w:val="auto"/>
                <w:sz w:val="24"/>
                <w:highlight w:val="none"/>
              </w:rPr>
            </w:pPr>
            <w:r>
              <w:rPr>
                <w:rFonts w:hint="eastAsia" w:ascii="宋体" w:hAnsi="宋体" w:cs="宋体"/>
                <w:color w:val="auto"/>
                <w:sz w:val="24"/>
                <w:highlight w:val="none"/>
              </w:rPr>
              <w:t>提供证明文件的电子件或电子证照</w:t>
            </w:r>
          </w:p>
        </w:tc>
      </w:tr>
      <w:tr w14:paraId="1AF9C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38" w:type="dxa"/>
            <w:shd w:val="clear" w:color="auto" w:fill="auto"/>
            <w:noWrap w:val="0"/>
            <w:vAlign w:val="center"/>
          </w:tcPr>
          <w:p w14:paraId="22E50FDF">
            <w:pPr>
              <w:tabs>
                <w:tab w:val="left" w:pos="1080"/>
              </w:tabs>
              <w:jc w:val="center"/>
              <w:rPr>
                <w:rFonts w:hint="default" w:ascii="Times New Roman" w:hAnsi="Times New Roman" w:eastAsia="宋体" w:cs="Times New Roman"/>
                <w:color w:val="auto"/>
                <w:sz w:val="24"/>
                <w:szCs w:val="24"/>
                <w:highlight w:val="none"/>
                <w:lang w:val="en-US" w:eastAsia="zh-CN" w:bidi="ar-SA"/>
              </w:rPr>
            </w:pPr>
            <w:r>
              <w:rPr>
                <w:rFonts w:hint="eastAsia"/>
                <w:color w:val="auto"/>
                <w:sz w:val="24"/>
                <w:highlight w:val="none"/>
              </w:rPr>
              <w:t>2</w:t>
            </w:r>
          </w:p>
        </w:tc>
        <w:tc>
          <w:tcPr>
            <w:tcW w:w="2234" w:type="dxa"/>
            <w:shd w:val="clear" w:color="auto" w:fill="auto"/>
            <w:noWrap w:val="0"/>
            <w:vAlign w:val="center"/>
          </w:tcPr>
          <w:p w14:paraId="3378243F">
            <w:pPr>
              <w:tabs>
                <w:tab w:val="left" w:pos="1080"/>
              </w:tabs>
              <w:rPr>
                <w:rFonts w:hint="eastAsia" w:ascii="Times New Roman" w:hAnsi="Times New Roman" w:eastAsia="宋体" w:cs="Times New Roman"/>
                <w:color w:val="auto"/>
                <w:sz w:val="24"/>
                <w:szCs w:val="24"/>
                <w:highlight w:val="none"/>
                <w:lang w:val="en-US" w:eastAsia="zh-CN" w:bidi="ar-SA"/>
              </w:rPr>
            </w:pPr>
            <w:r>
              <w:rPr>
                <w:color w:val="auto"/>
                <w:sz w:val="24"/>
                <w:highlight w:val="none"/>
              </w:rPr>
              <w:t>落实政府采购政策需满足的资格要求</w:t>
            </w:r>
          </w:p>
        </w:tc>
        <w:tc>
          <w:tcPr>
            <w:tcW w:w="4967" w:type="dxa"/>
            <w:shd w:val="clear" w:color="auto" w:fill="auto"/>
            <w:noWrap w:val="0"/>
            <w:vAlign w:val="center"/>
          </w:tcPr>
          <w:p w14:paraId="33780C09">
            <w:pPr>
              <w:tabs>
                <w:tab w:val="left" w:pos="1080"/>
              </w:tabs>
              <w:rPr>
                <w:rFonts w:hint="eastAsia" w:ascii="Times New Roman" w:hAnsi="Times New Roman" w:eastAsia="宋体" w:cs="Times New Roman"/>
                <w:color w:val="auto"/>
                <w:sz w:val="24"/>
                <w:szCs w:val="24"/>
                <w:highlight w:val="none"/>
                <w:lang w:val="en-US" w:eastAsia="zh-CN" w:bidi="ar-SA"/>
              </w:rPr>
            </w:pPr>
            <w:r>
              <w:rPr>
                <w:color w:val="auto"/>
                <w:sz w:val="24"/>
                <w:highlight w:val="none"/>
              </w:rPr>
              <w:t>具体要求见第一章《投标邀请》</w:t>
            </w:r>
          </w:p>
        </w:tc>
        <w:tc>
          <w:tcPr>
            <w:tcW w:w="1916" w:type="dxa"/>
            <w:shd w:val="clear" w:color="auto" w:fill="auto"/>
            <w:noWrap w:val="0"/>
            <w:vAlign w:val="center"/>
          </w:tcPr>
          <w:p w14:paraId="5BFCD4B6">
            <w:pPr>
              <w:tabs>
                <w:tab w:val="left" w:pos="1080"/>
              </w:tabs>
              <w:rPr>
                <w:rFonts w:hint="eastAsia" w:ascii="Times New Roman" w:hAnsi="Times New Roman" w:eastAsia="宋体" w:cs="Times New Roman"/>
                <w:color w:val="auto"/>
                <w:sz w:val="24"/>
                <w:szCs w:val="24"/>
                <w:highlight w:val="none"/>
                <w:lang w:val="en-US" w:eastAsia="zh-CN" w:bidi="ar-SA"/>
              </w:rPr>
            </w:pPr>
          </w:p>
        </w:tc>
      </w:tr>
      <w:tr w14:paraId="05D05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trPr>
        <w:tc>
          <w:tcPr>
            <w:tcW w:w="738" w:type="dxa"/>
            <w:shd w:val="clear" w:color="auto" w:fill="auto"/>
            <w:noWrap w:val="0"/>
            <w:vAlign w:val="center"/>
          </w:tcPr>
          <w:p w14:paraId="18CA3CF3">
            <w:pPr>
              <w:tabs>
                <w:tab w:val="left" w:pos="1080"/>
              </w:tabs>
              <w:jc w:val="center"/>
              <w:rPr>
                <w:rFonts w:hint="default"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2-1</w:t>
            </w:r>
          </w:p>
        </w:tc>
        <w:tc>
          <w:tcPr>
            <w:tcW w:w="2234" w:type="dxa"/>
            <w:shd w:val="clear" w:color="auto" w:fill="auto"/>
            <w:noWrap w:val="0"/>
            <w:vAlign w:val="center"/>
          </w:tcPr>
          <w:p w14:paraId="02830648">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中小企业声明函</w:t>
            </w:r>
          </w:p>
        </w:tc>
        <w:tc>
          <w:tcPr>
            <w:tcW w:w="4967" w:type="dxa"/>
            <w:shd w:val="clear" w:color="auto" w:fill="auto"/>
            <w:noWrap w:val="0"/>
            <w:vAlign w:val="center"/>
          </w:tcPr>
          <w:p w14:paraId="160BB207">
            <w:pPr>
              <w:tabs>
                <w:tab w:val="left" w:pos="1080"/>
              </w:tabs>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单独投标的，应提供中小企业声明函；如为监狱企业或残疾人福利性单位，不必提供中小企业声明函，但须按注1或注2要求提供证明材料。</w:t>
            </w:r>
          </w:p>
          <w:p w14:paraId="11F915F3">
            <w:pPr>
              <w:tabs>
                <w:tab w:val="left" w:pos="1080"/>
              </w:tabs>
              <w:rPr>
                <w:rFonts w:ascii="宋体" w:hAnsi="宋体" w:cs="宋体"/>
                <w:color w:val="auto"/>
                <w:sz w:val="24"/>
                <w:highlight w:val="none"/>
              </w:rPr>
            </w:pPr>
            <w:r>
              <w:rPr>
                <w:rFonts w:hint="eastAsia" w:ascii="宋体" w:hAnsi="宋体" w:cs="宋体"/>
                <w:color w:val="auto"/>
                <w:sz w:val="24"/>
                <w:highlight w:val="none"/>
              </w:rPr>
              <w:t>2、如</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要求以联合体形式参加或者要求合同分包的，且</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06EFF863">
            <w:pPr>
              <w:tabs>
                <w:tab w:val="left" w:pos="1080"/>
              </w:tabs>
              <w:rPr>
                <w:rFonts w:ascii="宋体" w:hAnsi="宋体" w:cs="宋体"/>
                <w:color w:val="auto"/>
                <w:sz w:val="24"/>
                <w:highlight w:val="none"/>
              </w:rPr>
            </w:pPr>
            <w:r>
              <w:rPr>
                <w:rFonts w:hint="eastAsia" w:ascii="宋体" w:hAnsi="宋体" w:cs="宋体"/>
                <w:color w:val="auto"/>
                <w:sz w:val="24"/>
                <w:highlight w:val="none"/>
              </w:rPr>
              <w:t>注1：监狱企业须提供由省级以上监狱管理局（常州市含教育矫治局）、戒毒管理局（含新疆生产建设兵团）出具的属于监狱企业的证明文件。</w:t>
            </w:r>
          </w:p>
          <w:p w14:paraId="1E99C0B1">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注2：残疾人福利性单位须按</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要求提供《残疾人福利性单位声明函》。</w:t>
            </w:r>
          </w:p>
        </w:tc>
        <w:tc>
          <w:tcPr>
            <w:tcW w:w="1916" w:type="dxa"/>
            <w:shd w:val="clear" w:color="auto" w:fill="auto"/>
            <w:noWrap w:val="0"/>
            <w:vAlign w:val="center"/>
          </w:tcPr>
          <w:p w14:paraId="1813DB9E">
            <w:pPr>
              <w:tabs>
                <w:tab w:val="left" w:pos="1080"/>
              </w:tabs>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rPr>
              <w:t>格式见《</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文件格式》</w:t>
            </w:r>
          </w:p>
        </w:tc>
      </w:tr>
    </w:tbl>
    <w:p w14:paraId="142499C2">
      <w:pPr>
        <w:widowControl/>
        <w:jc w:val="left"/>
        <w:rPr>
          <w:color w:val="auto"/>
          <w:sz w:val="24"/>
          <w:highlight w:val="none"/>
        </w:rPr>
      </w:pPr>
      <w:r>
        <w:rPr>
          <w:color w:val="auto"/>
          <w:sz w:val="24"/>
          <w:highlight w:val="none"/>
        </w:rPr>
        <w:br w:type="page" w:clear="all"/>
      </w:r>
    </w:p>
    <w:p w14:paraId="5944ADE9">
      <w:pPr>
        <w:numPr>
          <w:ilvl w:val="1"/>
          <w:numId w:val="10"/>
        </w:numPr>
        <w:tabs>
          <w:tab w:val="left" w:pos="1080"/>
        </w:tabs>
        <w:spacing w:line="360" w:lineRule="auto"/>
        <w:ind w:left="1140" w:hanging="720"/>
        <w:rPr>
          <w:color w:val="auto"/>
          <w:sz w:val="24"/>
          <w:highlight w:val="none"/>
        </w:rPr>
      </w:pPr>
      <w:r>
        <w:rPr>
          <w:color w:val="auto"/>
          <w:sz w:val="24"/>
          <w:highlight w:val="none"/>
        </w:rPr>
        <w:t>《符合性审查要求》见下表：</w:t>
      </w:r>
    </w:p>
    <w:p w14:paraId="5213875F">
      <w:pPr>
        <w:widowControl/>
        <w:spacing w:line="360" w:lineRule="auto"/>
        <w:jc w:val="center"/>
        <w:rPr>
          <w:b/>
          <w:color w:val="auto"/>
          <w:sz w:val="24"/>
          <w:highlight w:val="none"/>
        </w:rPr>
      </w:pPr>
      <w:r>
        <w:rPr>
          <w:b/>
          <w:color w:val="auto"/>
          <w:sz w:val="24"/>
          <w:highlight w:val="none"/>
        </w:rPr>
        <w:t>符合性审查要求</w:t>
      </w:r>
    </w:p>
    <w:tbl>
      <w:tblPr>
        <w:tblStyle w:val="3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2"/>
        <w:gridCol w:w="1903"/>
        <w:gridCol w:w="7060"/>
      </w:tblGrid>
      <w:tr w14:paraId="4BACC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771" w:type="dxa"/>
            <w:noWrap w:val="0"/>
            <w:vAlign w:val="center"/>
          </w:tcPr>
          <w:p w14:paraId="5D53EB9E">
            <w:pPr>
              <w:widowControl/>
              <w:jc w:val="center"/>
              <w:rPr>
                <w:b/>
                <w:color w:val="auto"/>
                <w:sz w:val="24"/>
                <w:highlight w:val="none"/>
              </w:rPr>
            </w:pPr>
            <w:r>
              <w:rPr>
                <w:b/>
                <w:color w:val="auto"/>
                <w:sz w:val="24"/>
                <w:highlight w:val="none"/>
              </w:rPr>
              <w:t>序号</w:t>
            </w:r>
          </w:p>
        </w:tc>
        <w:tc>
          <w:tcPr>
            <w:tcW w:w="1646" w:type="dxa"/>
            <w:noWrap w:val="0"/>
            <w:vAlign w:val="center"/>
          </w:tcPr>
          <w:p w14:paraId="167B410B">
            <w:pPr>
              <w:widowControl/>
              <w:jc w:val="center"/>
              <w:rPr>
                <w:b/>
                <w:color w:val="auto"/>
                <w:sz w:val="24"/>
                <w:highlight w:val="none"/>
              </w:rPr>
            </w:pPr>
            <w:r>
              <w:rPr>
                <w:b/>
                <w:color w:val="auto"/>
                <w:sz w:val="24"/>
                <w:highlight w:val="none"/>
              </w:rPr>
              <w:t>审查因素</w:t>
            </w:r>
          </w:p>
        </w:tc>
        <w:tc>
          <w:tcPr>
            <w:tcW w:w="6105" w:type="dxa"/>
            <w:noWrap w:val="0"/>
            <w:vAlign w:val="center"/>
          </w:tcPr>
          <w:p w14:paraId="152EB06E">
            <w:pPr>
              <w:widowControl/>
              <w:jc w:val="center"/>
              <w:rPr>
                <w:b/>
                <w:color w:val="auto"/>
                <w:sz w:val="24"/>
                <w:highlight w:val="none"/>
              </w:rPr>
            </w:pPr>
            <w:r>
              <w:rPr>
                <w:b/>
                <w:color w:val="auto"/>
                <w:sz w:val="24"/>
                <w:highlight w:val="none"/>
              </w:rPr>
              <w:t>审查内容</w:t>
            </w:r>
          </w:p>
        </w:tc>
      </w:tr>
      <w:tr w14:paraId="0EC6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7F417F23">
            <w:pPr>
              <w:widowControl/>
              <w:jc w:val="center"/>
              <w:rPr>
                <w:color w:val="auto"/>
                <w:sz w:val="24"/>
                <w:highlight w:val="none"/>
              </w:rPr>
            </w:pPr>
            <w:r>
              <w:rPr>
                <w:color w:val="auto"/>
                <w:sz w:val="24"/>
                <w:highlight w:val="none"/>
              </w:rPr>
              <w:t>1</w:t>
            </w:r>
          </w:p>
        </w:tc>
        <w:tc>
          <w:tcPr>
            <w:tcW w:w="1646" w:type="dxa"/>
            <w:noWrap w:val="0"/>
            <w:vAlign w:val="center"/>
          </w:tcPr>
          <w:p w14:paraId="11BF3022">
            <w:pPr>
              <w:widowControl/>
              <w:jc w:val="left"/>
              <w:rPr>
                <w:color w:val="auto"/>
                <w:sz w:val="24"/>
                <w:highlight w:val="none"/>
              </w:rPr>
            </w:pPr>
            <w:r>
              <w:rPr>
                <w:rFonts w:hint="eastAsia"/>
                <w:color w:val="auto"/>
                <w:sz w:val="24"/>
                <w:highlight w:val="none"/>
              </w:rPr>
              <w:t>响应函、法定代表人资格证明书、政府采购供应商信用承诺书</w:t>
            </w:r>
          </w:p>
        </w:tc>
        <w:tc>
          <w:tcPr>
            <w:tcW w:w="6105" w:type="dxa"/>
            <w:noWrap w:val="0"/>
            <w:vAlign w:val="center"/>
          </w:tcPr>
          <w:p w14:paraId="0A6A5698">
            <w:pPr>
              <w:widowControl/>
              <w:jc w:val="left"/>
              <w:rPr>
                <w:color w:val="auto"/>
                <w:sz w:val="24"/>
                <w:highlight w:val="none"/>
              </w:rPr>
            </w:pPr>
            <w:r>
              <w:rPr>
                <w:color w:val="auto"/>
                <w:sz w:val="24"/>
                <w:highlight w:val="none"/>
              </w:rPr>
              <w:t>按磋商文件要求提供</w:t>
            </w:r>
            <w:r>
              <w:rPr>
                <w:rFonts w:hint="eastAsia"/>
                <w:color w:val="auto"/>
                <w:sz w:val="24"/>
                <w:highlight w:val="none"/>
              </w:rPr>
              <w:t>响应函、法定代表人资格证明书、政府采购供应商信用承诺书</w:t>
            </w:r>
          </w:p>
        </w:tc>
      </w:tr>
      <w:tr w14:paraId="66B65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23737515">
            <w:pPr>
              <w:widowControl/>
              <w:jc w:val="center"/>
              <w:rPr>
                <w:color w:val="auto"/>
                <w:sz w:val="24"/>
                <w:highlight w:val="none"/>
              </w:rPr>
            </w:pPr>
            <w:r>
              <w:rPr>
                <w:color w:val="auto"/>
                <w:sz w:val="24"/>
                <w:highlight w:val="none"/>
              </w:rPr>
              <w:t>2</w:t>
            </w:r>
          </w:p>
        </w:tc>
        <w:tc>
          <w:tcPr>
            <w:tcW w:w="1646" w:type="dxa"/>
            <w:noWrap w:val="0"/>
            <w:vAlign w:val="center"/>
          </w:tcPr>
          <w:p w14:paraId="0187467A">
            <w:pPr>
              <w:widowControl/>
              <w:jc w:val="left"/>
              <w:rPr>
                <w:color w:val="auto"/>
                <w:sz w:val="24"/>
                <w:highlight w:val="none"/>
              </w:rPr>
            </w:pPr>
            <w:r>
              <w:rPr>
                <w:color w:val="auto"/>
                <w:sz w:val="24"/>
                <w:highlight w:val="none"/>
              </w:rPr>
              <w:t>响应完整性</w:t>
            </w:r>
          </w:p>
        </w:tc>
        <w:tc>
          <w:tcPr>
            <w:tcW w:w="6105" w:type="dxa"/>
            <w:noWrap w:val="0"/>
            <w:vAlign w:val="center"/>
          </w:tcPr>
          <w:p w14:paraId="55791419">
            <w:pPr>
              <w:widowControl/>
              <w:jc w:val="left"/>
              <w:rPr>
                <w:color w:val="auto"/>
                <w:sz w:val="24"/>
                <w:highlight w:val="none"/>
              </w:rPr>
            </w:pPr>
            <w:r>
              <w:rPr>
                <w:rFonts w:hint="eastAsia"/>
                <w:color w:val="auto"/>
                <w:sz w:val="24"/>
                <w:highlight w:val="none"/>
              </w:rPr>
              <w:t>未</w:t>
            </w:r>
            <w:r>
              <w:rPr>
                <w:color w:val="auto"/>
                <w:sz w:val="24"/>
                <w:highlight w:val="none"/>
              </w:rPr>
              <w:t>将一个采购包中的内容拆开响应；</w:t>
            </w:r>
          </w:p>
        </w:tc>
      </w:tr>
      <w:tr w14:paraId="6113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6D837CA9">
            <w:pPr>
              <w:widowControl/>
              <w:jc w:val="center"/>
              <w:rPr>
                <w:color w:val="auto"/>
                <w:sz w:val="24"/>
                <w:highlight w:val="none"/>
              </w:rPr>
            </w:pPr>
            <w:r>
              <w:rPr>
                <w:color w:val="auto"/>
                <w:sz w:val="24"/>
                <w:highlight w:val="none"/>
              </w:rPr>
              <w:t>3</w:t>
            </w:r>
          </w:p>
        </w:tc>
        <w:tc>
          <w:tcPr>
            <w:tcW w:w="1646" w:type="dxa"/>
            <w:noWrap w:val="0"/>
            <w:vAlign w:val="center"/>
          </w:tcPr>
          <w:p w14:paraId="202CBD16">
            <w:pPr>
              <w:widowControl/>
              <w:jc w:val="left"/>
              <w:rPr>
                <w:color w:val="auto"/>
                <w:sz w:val="24"/>
                <w:highlight w:val="none"/>
              </w:rPr>
            </w:pPr>
            <w:r>
              <w:rPr>
                <w:color w:val="auto"/>
                <w:sz w:val="24"/>
                <w:highlight w:val="none"/>
              </w:rPr>
              <w:t>响应报价</w:t>
            </w:r>
          </w:p>
        </w:tc>
        <w:tc>
          <w:tcPr>
            <w:tcW w:w="6105" w:type="dxa"/>
            <w:noWrap w:val="0"/>
            <w:vAlign w:val="center"/>
          </w:tcPr>
          <w:p w14:paraId="36A53511">
            <w:pPr>
              <w:widowControl/>
              <w:jc w:val="left"/>
              <w:rPr>
                <w:rFonts w:hint="eastAsia" w:eastAsia="宋体"/>
                <w:color w:val="auto"/>
                <w:sz w:val="24"/>
                <w:highlight w:val="none"/>
                <w:lang w:eastAsia="zh-CN"/>
              </w:rPr>
            </w:pPr>
            <w:r>
              <w:rPr>
                <w:rFonts w:hint="eastAsia" w:ascii="宋体" w:hAnsi="宋体" w:cs="宋体"/>
                <w:color w:val="auto"/>
                <w:sz w:val="24"/>
                <w:highlight w:val="none"/>
              </w:rPr>
              <w:t>响应报价未超过磋商文件中规定的项目/采购包预算金额或者项目/采购包最高限价；</w:t>
            </w:r>
          </w:p>
        </w:tc>
      </w:tr>
      <w:tr w14:paraId="5C0A2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1" w:type="dxa"/>
            <w:noWrap w:val="0"/>
            <w:vAlign w:val="center"/>
          </w:tcPr>
          <w:p w14:paraId="60709C17">
            <w:pPr>
              <w:widowControl/>
              <w:jc w:val="center"/>
              <w:rPr>
                <w:color w:val="auto"/>
                <w:sz w:val="24"/>
                <w:highlight w:val="none"/>
              </w:rPr>
            </w:pPr>
            <w:r>
              <w:rPr>
                <w:color w:val="auto"/>
                <w:sz w:val="24"/>
                <w:highlight w:val="none"/>
              </w:rPr>
              <w:t>4</w:t>
            </w:r>
          </w:p>
        </w:tc>
        <w:tc>
          <w:tcPr>
            <w:tcW w:w="1646" w:type="dxa"/>
            <w:noWrap w:val="0"/>
            <w:vAlign w:val="center"/>
          </w:tcPr>
          <w:p w14:paraId="724F1F94">
            <w:pPr>
              <w:widowControl/>
              <w:jc w:val="left"/>
              <w:rPr>
                <w:color w:val="auto"/>
                <w:sz w:val="24"/>
                <w:highlight w:val="none"/>
              </w:rPr>
            </w:pPr>
            <w:r>
              <w:rPr>
                <w:color w:val="auto"/>
                <w:sz w:val="24"/>
                <w:highlight w:val="none"/>
              </w:rPr>
              <w:t>报价唯一性</w:t>
            </w:r>
          </w:p>
        </w:tc>
        <w:tc>
          <w:tcPr>
            <w:tcW w:w="6105" w:type="dxa"/>
            <w:noWrap w:val="0"/>
            <w:vAlign w:val="center"/>
          </w:tcPr>
          <w:p w14:paraId="0F2A8614">
            <w:pPr>
              <w:widowControl/>
              <w:jc w:val="left"/>
              <w:rPr>
                <w:color w:val="auto"/>
                <w:sz w:val="24"/>
                <w:highlight w:val="none"/>
              </w:rPr>
            </w:pPr>
            <w:r>
              <w:rPr>
                <w:color w:val="auto"/>
                <w:sz w:val="24"/>
                <w:highlight w:val="none"/>
              </w:rPr>
              <w:t>响应文件</w:t>
            </w:r>
            <w:r>
              <w:rPr>
                <w:rFonts w:hint="eastAsia"/>
                <w:color w:val="auto"/>
                <w:sz w:val="24"/>
                <w:highlight w:val="none"/>
              </w:rPr>
              <w:t>未出现可选择性或可调整的报价（磋商文件另有规定的除外）</w:t>
            </w:r>
            <w:r>
              <w:rPr>
                <w:color w:val="auto"/>
                <w:sz w:val="24"/>
                <w:highlight w:val="none"/>
              </w:rPr>
              <w:t>；</w:t>
            </w:r>
          </w:p>
        </w:tc>
      </w:tr>
      <w:tr w14:paraId="2D34D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6B701D66">
            <w:pPr>
              <w:widowControl/>
              <w:jc w:val="center"/>
              <w:rPr>
                <w:color w:val="auto"/>
                <w:sz w:val="24"/>
                <w:highlight w:val="none"/>
              </w:rPr>
            </w:pPr>
            <w:r>
              <w:rPr>
                <w:color w:val="auto"/>
                <w:sz w:val="24"/>
                <w:highlight w:val="none"/>
              </w:rPr>
              <w:t>5</w:t>
            </w:r>
          </w:p>
        </w:tc>
        <w:tc>
          <w:tcPr>
            <w:tcW w:w="1646" w:type="dxa"/>
            <w:noWrap w:val="0"/>
            <w:vAlign w:val="center"/>
          </w:tcPr>
          <w:p w14:paraId="5C137B02">
            <w:pPr>
              <w:widowControl/>
              <w:jc w:val="left"/>
              <w:rPr>
                <w:color w:val="auto"/>
                <w:sz w:val="24"/>
                <w:highlight w:val="none"/>
              </w:rPr>
            </w:pPr>
            <w:r>
              <w:rPr>
                <w:color w:val="auto"/>
                <w:sz w:val="24"/>
                <w:highlight w:val="none"/>
              </w:rPr>
              <w:t>响应有效期</w:t>
            </w:r>
          </w:p>
        </w:tc>
        <w:tc>
          <w:tcPr>
            <w:tcW w:w="6105" w:type="dxa"/>
            <w:noWrap w:val="0"/>
            <w:vAlign w:val="center"/>
          </w:tcPr>
          <w:p w14:paraId="1BA36AB2">
            <w:pPr>
              <w:widowControl/>
              <w:jc w:val="left"/>
              <w:rPr>
                <w:color w:val="auto"/>
                <w:sz w:val="24"/>
                <w:highlight w:val="none"/>
              </w:rPr>
            </w:pPr>
            <w:r>
              <w:rPr>
                <w:color w:val="auto"/>
                <w:sz w:val="24"/>
                <w:highlight w:val="none"/>
              </w:rPr>
              <w:t>响应文件中承诺的响应有效期</w:t>
            </w:r>
            <w:r>
              <w:rPr>
                <w:rFonts w:hint="eastAsia"/>
                <w:color w:val="auto"/>
                <w:sz w:val="24"/>
                <w:highlight w:val="none"/>
              </w:rPr>
              <w:t>满足</w:t>
            </w:r>
            <w:r>
              <w:rPr>
                <w:color w:val="auto"/>
                <w:sz w:val="24"/>
                <w:highlight w:val="none"/>
              </w:rPr>
              <w:t>磋商文件中载明的响应有效期的；</w:t>
            </w:r>
          </w:p>
        </w:tc>
      </w:tr>
      <w:tr w14:paraId="39524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023BADBC">
            <w:pPr>
              <w:widowControl/>
              <w:jc w:val="center"/>
              <w:rPr>
                <w:color w:val="auto"/>
                <w:sz w:val="24"/>
                <w:highlight w:val="none"/>
              </w:rPr>
            </w:pPr>
            <w:r>
              <w:rPr>
                <w:color w:val="auto"/>
                <w:sz w:val="24"/>
                <w:highlight w:val="none"/>
              </w:rPr>
              <w:t>6</w:t>
            </w:r>
          </w:p>
        </w:tc>
        <w:tc>
          <w:tcPr>
            <w:tcW w:w="1646" w:type="dxa"/>
            <w:noWrap w:val="0"/>
            <w:vAlign w:val="center"/>
          </w:tcPr>
          <w:p w14:paraId="1BB3EDC1">
            <w:pPr>
              <w:widowControl/>
              <w:jc w:val="left"/>
              <w:rPr>
                <w:color w:val="auto"/>
                <w:sz w:val="24"/>
                <w:highlight w:val="none"/>
              </w:rPr>
            </w:pPr>
            <w:r>
              <w:rPr>
                <w:color w:val="auto"/>
                <w:sz w:val="24"/>
                <w:highlight w:val="none"/>
              </w:rPr>
              <w:t>签署、加盖公章</w:t>
            </w:r>
          </w:p>
        </w:tc>
        <w:tc>
          <w:tcPr>
            <w:tcW w:w="6105" w:type="dxa"/>
            <w:noWrap w:val="0"/>
            <w:vAlign w:val="center"/>
          </w:tcPr>
          <w:p w14:paraId="1E6FE5BE">
            <w:pPr>
              <w:widowControl/>
              <w:jc w:val="left"/>
              <w:rPr>
                <w:color w:val="auto"/>
                <w:sz w:val="24"/>
                <w:highlight w:val="none"/>
              </w:rPr>
            </w:pPr>
            <w:r>
              <w:rPr>
                <w:color w:val="auto"/>
                <w:sz w:val="24"/>
                <w:highlight w:val="none"/>
              </w:rPr>
              <w:t>按照磋商文件要求签署、加盖公章的；</w:t>
            </w:r>
          </w:p>
        </w:tc>
      </w:tr>
      <w:tr w14:paraId="7670D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4BB8836B">
            <w:pPr>
              <w:widowControl/>
              <w:jc w:val="center"/>
              <w:rPr>
                <w:color w:val="auto"/>
                <w:sz w:val="24"/>
                <w:highlight w:val="none"/>
              </w:rPr>
            </w:pPr>
            <w:r>
              <w:rPr>
                <w:rFonts w:hint="eastAsia"/>
                <w:color w:val="auto"/>
                <w:sz w:val="24"/>
                <w:highlight w:val="none"/>
              </w:rPr>
              <w:t>7</w:t>
            </w:r>
          </w:p>
        </w:tc>
        <w:tc>
          <w:tcPr>
            <w:tcW w:w="1646" w:type="dxa"/>
            <w:noWrap w:val="0"/>
            <w:vAlign w:val="center"/>
          </w:tcPr>
          <w:p w14:paraId="4875043A">
            <w:pPr>
              <w:widowControl/>
              <w:jc w:val="left"/>
              <w:rPr>
                <w:color w:val="auto"/>
                <w:sz w:val="24"/>
                <w:highlight w:val="none"/>
              </w:rPr>
            </w:pPr>
            <w:r>
              <w:rPr>
                <w:rFonts w:hint="eastAsia"/>
                <w:color w:val="auto"/>
                <w:sz w:val="24"/>
                <w:highlight w:val="none"/>
              </w:rPr>
              <w:t>实质性格式</w:t>
            </w:r>
          </w:p>
        </w:tc>
        <w:tc>
          <w:tcPr>
            <w:tcW w:w="6105" w:type="dxa"/>
            <w:noWrap w:val="0"/>
            <w:vAlign w:val="center"/>
          </w:tcPr>
          <w:p w14:paraId="0052CE76">
            <w:pPr>
              <w:widowControl/>
              <w:jc w:val="left"/>
              <w:rPr>
                <w:color w:val="auto"/>
                <w:sz w:val="24"/>
                <w:highlight w:val="none"/>
              </w:rPr>
            </w:pPr>
            <w:r>
              <w:rPr>
                <w:rFonts w:hint="eastAsia"/>
                <w:color w:val="auto"/>
                <w:sz w:val="24"/>
                <w:highlight w:val="none"/>
              </w:rPr>
              <w:t>标记为</w:t>
            </w:r>
            <w:r>
              <w:rPr>
                <w:color w:val="auto"/>
                <w:sz w:val="24"/>
                <w:highlight w:val="none"/>
              </w:rPr>
              <w:t>“实质性格式”的</w:t>
            </w:r>
            <w:r>
              <w:rPr>
                <w:rFonts w:hint="eastAsia"/>
                <w:color w:val="auto"/>
                <w:sz w:val="24"/>
                <w:highlight w:val="none"/>
              </w:rPr>
              <w:t>文件均按</w:t>
            </w:r>
            <w:r>
              <w:rPr>
                <w:color w:val="auto"/>
                <w:sz w:val="24"/>
                <w:highlight w:val="none"/>
              </w:rPr>
              <w:t>磋商文件</w:t>
            </w:r>
            <w:r>
              <w:rPr>
                <w:rFonts w:hint="eastAsia"/>
                <w:color w:val="auto"/>
                <w:sz w:val="24"/>
                <w:highlight w:val="none"/>
              </w:rPr>
              <w:t>要求提供；</w:t>
            </w:r>
          </w:p>
        </w:tc>
      </w:tr>
      <w:tr w14:paraId="0A0CC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58FEEC7D">
            <w:pPr>
              <w:widowControl/>
              <w:jc w:val="center"/>
              <w:rPr>
                <w:b w:val="0"/>
                <w:bCs w:val="0"/>
                <w:color w:val="auto"/>
                <w:sz w:val="24"/>
                <w:highlight w:val="none"/>
              </w:rPr>
            </w:pPr>
            <w:r>
              <w:rPr>
                <w:b w:val="0"/>
                <w:bCs w:val="0"/>
                <w:color w:val="auto"/>
                <w:sz w:val="24"/>
                <w:highlight w:val="none"/>
              </w:rPr>
              <w:t>8</w:t>
            </w:r>
          </w:p>
        </w:tc>
        <w:tc>
          <w:tcPr>
            <w:tcW w:w="1646" w:type="dxa"/>
            <w:noWrap w:val="0"/>
            <w:vAlign w:val="center"/>
          </w:tcPr>
          <w:p w14:paraId="3432A0AC">
            <w:pPr>
              <w:widowControl/>
              <w:jc w:val="left"/>
              <w:rPr>
                <w:b w:val="0"/>
                <w:bCs w:val="0"/>
                <w:color w:val="auto"/>
                <w:sz w:val="24"/>
                <w:highlight w:val="none"/>
              </w:rPr>
            </w:pPr>
            <w:r>
              <w:rPr>
                <w:rFonts w:ascii="Segoe UI Symbol" w:hAnsi="Segoe UI Symbol" w:cs="Segoe UI Symbol"/>
                <w:b w:val="0"/>
                <w:bCs w:val="0"/>
                <w:color w:val="auto"/>
                <w:sz w:val="24"/>
                <w:highlight w:val="none"/>
              </w:rPr>
              <w:t>★</w:t>
            </w:r>
            <w:r>
              <w:rPr>
                <w:b w:val="0"/>
                <w:bCs w:val="0"/>
                <w:color w:val="auto"/>
                <w:sz w:val="24"/>
                <w:highlight w:val="none"/>
              </w:rPr>
              <w:t>号条款响应</w:t>
            </w:r>
          </w:p>
        </w:tc>
        <w:tc>
          <w:tcPr>
            <w:tcW w:w="6105" w:type="dxa"/>
            <w:noWrap w:val="0"/>
            <w:vAlign w:val="center"/>
          </w:tcPr>
          <w:p w14:paraId="2F2AF905">
            <w:pPr>
              <w:widowControl/>
              <w:jc w:val="left"/>
              <w:rPr>
                <w:b w:val="0"/>
                <w:bCs w:val="0"/>
                <w:color w:val="auto"/>
                <w:sz w:val="24"/>
                <w:highlight w:val="none"/>
              </w:rPr>
            </w:pPr>
            <w:r>
              <w:rPr>
                <w:b w:val="0"/>
                <w:bCs w:val="0"/>
                <w:color w:val="auto"/>
                <w:sz w:val="24"/>
                <w:highlight w:val="none"/>
              </w:rPr>
              <w:t>响应文件满足磋商文件第</w:t>
            </w:r>
            <w:r>
              <w:rPr>
                <w:rFonts w:hint="eastAsia"/>
                <w:b w:val="0"/>
                <w:bCs w:val="0"/>
                <w:color w:val="auto"/>
                <w:sz w:val="24"/>
                <w:highlight w:val="none"/>
              </w:rPr>
              <w:t>四</w:t>
            </w:r>
            <w:r>
              <w:rPr>
                <w:b w:val="0"/>
                <w:bCs w:val="0"/>
                <w:color w:val="auto"/>
                <w:sz w:val="24"/>
                <w:highlight w:val="none"/>
              </w:rPr>
              <w:t>章《采购需求》中</w:t>
            </w:r>
            <w:r>
              <w:rPr>
                <w:rFonts w:ascii="Segoe UI Symbol" w:hAnsi="Segoe UI Symbol" w:cs="Segoe UI Symbol"/>
                <w:b w:val="0"/>
                <w:bCs w:val="0"/>
                <w:color w:val="auto"/>
                <w:sz w:val="24"/>
                <w:highlight w:val="none"/>
              </w:rPr>
              <w:t>★</w:t>
            </w:r>
            <w:r>
              <w:rPr>
                <w:b w:val="0"/>
                <w:bCs w:val="0"/>
                <w:color w:val="auto"/>
                <w:sz w:val="24"/>
                <w:highlight w:val="none"/>
              </w:rPr>
              <w:t>号条款要求的；</w:t>
            </w:r>
          </w:p>
        </w:tc>
      </w:tr>
      <w:tr w14:paraId="0E097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328ED154">
            <w:pPr>
              <w:widowControl/>
              <w:jc w:val="center"/>
              <w:rPr>
                <w:color w:val="auto"/>
                <w:sz w:val="24"/>
                <w:highlight w:val="none"/>
              </w:rPr>
            </w:pPr>
            <w:r>
              <w:rPr>
                <w:color w:val="auto"/>
                <w:sz w:val="24"/>
                <w:highlight w:val="none"/>
              </w:rPr>
              <w:t>9</w:t>
            </w:r>
          </w:p>
        </w:tc>
        <w:tc>
          <w:tcPr>
            <w:tcW w:w="1646" w:type="dxa"/>
            <w:noWrap w:val="0"/>
            <w:vAlign w:val="center"/>
          </w:tcPr>
          <w:p w14:paraId="0818808F">
            <w:pPr>
              <w:widowControl/>
              <w:jc w:val="left"/>
              <w:rPr>
                <w:color w:val="auto"/>
                <w:sz w:val="24"/>
                <w:highlight w:val="none"/>
              </w:rPr>
            </w:pPr>
            <w:r>
              <w:rPr>
                <w:color w:val="auto"/>
                <w:sz w:val="24"/>
                <w:highlight w:val="none"/>
              </w:rPr>
              <w:t>分包承担主体资质（如有）</w:t>
            </w:r>
          </w:p>
        </w:tc>
        <w:tc>
          <w:tcPr>
            <w:tcW w:w="6105" w:type="dxa"/>
            <w:noWrap w:val="0"/>
            <w:vAlign w:val="center"/>
          </w:tcPr>
          <w:p w14:paraId="185CA5BE">
            <w:pPr>
              <w:widowControl/>
              <w:jc w:val="left"/>
              <w:rPr>
                <w:color w:val="auto"/>
                <w:sz w:val="24"/>
                <w:highlight w:val="none"/>
              </w:rPr>
            </w:pPr>
            <w:r>
              <w:rPr>
                <w:color w:val="auto"/>
                <w:sz w:val="24"/>
                <w:highlight w:val="none"/>
              </w:rPr>
              <w:t>分包承担主体具备《供应商须知资料表》载明的资质条件</w:t>
            </w:r>
            <w:r>
              <w:rPr>
                <w:rFonts w:hint="eastAsia"/>
                <w:color w:val="auto"/>
                <w:sz w:val="24"/>
                <w:highlight w:val="none"/>
              </w:rPr>
              <w:t>且</w:t>
            </w:r>
            <w:r>
              <w:rPr>
                <w:color w:val="auto"/>
                <w:sz w:val="24"/>
                <w:highlight w:val="none"/>
              </w:rPr>
              <w:t>提供</w:t>
            </w:r>
            <w:r>
              <w:rPr>
                <w:rFonts w:hint="eastAsia"/>
                <w:color w:val="auto"/>
                <w:sz w:val="24"/>
                <w:highlight w:val="none"/>
              </w:rPr>
              <w:t>了</w:t>
            </w:r>
            <w:r>
              <w:rPr>
                <w:color w:val="auto"/>
                <w:sz w:val="24"/>
                <w:highlight w:val="none"/>
              </w:rPr>
              <w:t>资质证书电子件</w:t>
            </w:r>
            <w:r>
              <w:rPr>
                <w:rFonts w:hint="eastAsia"/>
                <w:color w:val="auto"/>
                <w:sz w:val="24"/>
                <w:highlight w:val="none"/>
              </w:rPr>
              <w:t>（如有）</w:t>
            </w:r>
            <w:r>
              <w:rPr>
                <w:color w:val="auto"/>
                <w:sz w:val="24"/>
                <w:highlight w:val="none"/>
              </w:rPr>
              <w:t>；</w:t>
            </w:r>
          </w:p>
        </w:tc>
      </w:tr>
      <w:tr w14:paraId="6148A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2DFD867F">
            <w:pPr>
              <w:widowControl/>
              <w:jc w:val="center"/>
              <w:rPr>
                <w:color w:val="auto"/>
                <w:sz w:val="24"/>
                <w:highlight w:val="none"/>
              </w:rPr>
            </w:pPr>
            <w:r>
              <w:rPr>
                <w:color w:val="auto"/>
                <w:sz w:val="24"/>
                <w:highlight w:val="none"/>
              </w:rPr>
              <w:t>10</w:t>
            </w:r>
          </w:p>
        </w:tc>
        <w:tc>
          <w:tcPr>
            <w:tcW w:w="1646" w:type="dxa"/>
            <w:noWrap w:val="0"/>
            <w:vAlign w:val="center"/>
          </w:tcPr>
          <w:p w14:paraId="07F3A601">
            <w:pPr>
              <w:widowControl/>
              <w:jc w:val="left"/>
              <w:rPr>
                <w:color w:val="auto"/>
                <w:sz w:val="24"/>
                <w:highlight w:val="none"/>
              </w:rPr>
            </w:pPr>
            <w:r>
              <w:rPr>
                <w:color w:val="auto"/>
                <w:sz w:val="24"/>
                <w:highlight w:val="none"/>
              </w:rPr>
              <w:t>分包意向协议</w:t>
            </w:r>
          </w:p>
          <w:p w14:paraId="3C84E1AB">
            <w:pPr>
              <w:widowControl/>
              <w:jc w:val="left"/>
              <w:rPr>
                <w:color w:val="auto"/>
                <w:sz w:val="24"/>
                <w:highlight w:val="none"/>
              </w:rPr>
            </w:pPr>
            <w:r>
              <w:rPr>
                <w:color w:val="auto"/>
                <w:sz w:val="24"/>
                <w:highlight w:val="none"/>
              </w:rPr>
              <w:t>（如有）</w:t>
            </w:r>
          </w:p>
        </w:tc>
        <w:tc>
          <w:tcPr>
            <w:tcW w:w="6105" w:type="dxa"/>
            <w:noWrap w:val="0"/>
            <w:vAlign w:val="center"/>
          </w:tcPr>
          <w:p w14:paraId="1E349CB8">
            <w:pPr>
              <w:widowControl/>
              <w:jc w:val="left"/>
              <w:rPr>
                <w:color w:val="auto"/>
                <w:sz w:val="24"/>
                <w:highlight w:val="none"/>
              </w:rPr>
            </w:pPr>
            <w:r>
              <w:rPr>
                <w:color w:val="auto"/>
                <w:sz w:val="24"/>
                <w:highlight w:val="none"/>
              </w:rPr>
              <w:t>按磋商文件规定签订并提供分包意向协议原件的电子件的；</w:t>
            </w:r>
            <w:r>
              <w:rPr>
                <w:rFonts w:hint="eastAsia"/>
                <w:color w:val="auto"/>
                <w:sz w:val="24"/>
                <w:highlight w:val="none"/>
              </w:rPr>
              <w:t>（如有）</w:t>
            </w:r>
          </w:p>
        </w:tc>
      </w:tr>
      <w:tr w14:paraId="3ADB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1062E832">
            <w:pPr>
              <w:widowControl/>
              <w:jc w:val="center"/>
              <w:rPr>
                <w:color w:val="auto"/>
                <w:sz w:val="24"/>
                <w:highlight w:val="none"/>
              </w:rPr>
            </w:pPr>
            <w:r>
              <w:rPr>
                <w:color w:val="auto"/>
                <w:sz w:val="24"/>
                <w:highlight w:val="none"/>
              </w:rPr>
              <w:t>11</w:t>
            </w:r>
          </w:p>
        </w:tc>
        <w:tc>
          <w:tcPr>
            <w:tcW w:w="1646" w:type="dxa"/>
            <w:noWrap w:val="0"/>
            <w:vAlign w:val="center"/>
          </w:tcPr>
          <w:p w14:paraId="42D82341">
            <w:pPr>
              <w:widowControl/>
              <w:jc w:val="left"/>
              <w:rPr>
                <w:color w:val="auto"/>
                <w:sz w:val="24"/>
                <w:highlight w:val="none"/>
              </w:rPr>
            </w:pPr>
            <w:r>
              <w:rPr>
                <w:color w:val="auto"/>
                <w:sz w:val="24"/>
                <w:highlight w:val="none"/>
              </w:rPr>
              <w:t>报价的修正（如有）</w:t>
            </w:r>
          </w:p>
        </w:tc>
        <w:tc>
          <w:tcPr>
            <w:tcW w:w="6105" w:type="dxa"/>
            <w:noWrap w:val="0"/>
            <w:vAlign w:val="center"/>
          </w:tcPr>
          <w:p w14:paraId="35B1F1AE">
            <w:pPr>
              <w:widowControl/>
              <w:jc w:val="left"/>
              <w:rPr>
                <w:color w:val="auto"/>
                <w:sz w:val="24"/>
                <w:highlight w:val="none"/>
              </w:rPr>
            </w:pPr>
            <w:r>
              <w:rPr>
                <w:rFonts w:hint="eastAsia"/>
                <w:color w:val="auto"/>
                <w:sz w:val="24"/>
                <w:highlight w:val="none"/>
              </w:rPr>
              <w:t>不涉及报价修正</w:t>
            </w:r>
            <w:r>
              <w:rPr>
                <w:color w:val="auto"/>
                <w:sz w:val="24"/>
                <w:highlight w:val="none"/>
              </w:rPr>
              <w:t>，或响应文件报价出现前后不一致</w:t>
            </w:r>
            <w:r>
              <w:rPr>
                <w:rFonts w:hint="eastAsia"/>
                <w:color w:val="auto"/>
                <w:sz w:val="24"/>
                <w:highlight w:val="none"/>
              </w:rPr>
              <w:t>时</w:t>
            </w:r>
            <w:r>
              <w:rPr>
                <w:color w:val="auto"/>
                <w:sz w:val="24"/>
                <w:highlight w:val="none"/>
              </w:rPr>
              <w:t>，供应商对修正后的报价予</w:t>
            </w:r>
            <w:r>
              <w:rPr>
                <w:rFonts w:hint="eastAsia"/>
                <w:color w:val="auto"/>
                <w:sz w:val="24"/>
                <w:highlight w:val="none"/>
              </w:rPr>
              <w:t>以</w:t>
            </w:r>
            <w:r>
              <w:rPr>
                <w:color w:val="auto"/>
                <w:sz w:val="24"/>
                <w:highlight w:val="none"/>
              </w:rPr>
              <w:t>确认；（如有）</w:t>
            </w:r>
          </w:p>
        </w:tc>
      </w:tr>
      <w:tr w14:paraId="2BF4A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3CA8363A">
            <w:pPr>
              <w:widowControl/>
              <w:jc w:val="center"/>
              <w:rPr>
                <w:color w:val="auto"/>
                <w:sz w:val="24"/>
                <w:highlight w:val="none"/>
              </w:rPr>
            </w:pPr>
            <w:r>
              <w:rPr>
                <w:color w:val="auto"/>
                <w:sz w:val="24"/>
                <w:highlight w:val="none"/>
              </w:rPr>
              <w:t>1</w:t>
            </w:r>
            <w:r>
              <w:rPr>
                <w:rFonts w:hint="eastAsia"/>
                <w:color w:val="auto"/>
                <w:sz w:val="24"/>
                <w:highlight w:val="none"/>
              </w:rPr>
              <w:t>2</w:t>
            </w:r>
          </w:p>
        </w:tc>
        <w:tc>
          <w:tcPr>
            <w:tcW w:w="1646" w:type="dxa"/>
            <w:noWrap w:val="0"/>
            <w:vAlign w:val="center"/>
          </w:tcPr>
          <w:p w14:paraId="2178AEEE">
            <w:pPr>
              <w:widowControl/>
              <w:jc w:val="left"/>
              <w:rPr>
                <w:color w:val="auto"/>
                <w:sz w:val="24"/>
                <w:highlight w:val="none"/>
              </w:rPr>
            </w:pPr>
            <w:r>
              <w:rPr>
                <w:color w:val="auto"/>
                <w:sz w:val="24"/>
                <w:highlight w:val="none"/>
              </w:rPr>
              <w:t>进口产品</w:t>
            </w:r>
          </w:p>
          <w:p w14:paraId="66EC658B">
            <w:pPr>
              <w:widowControl/>
              <w:jc w:val="left"/>
              <w:rPr>
                <w:color w:val="auto"/>
                <w:sz w:val="24"/>
                <w:highlight w:val="none"/>
              </w:rPr>
            </w:pPr>
            <w:r>
              <w:rPr>
                <w:color w:val="auto"/>
                <w:sz w:val="24"/>
                <w:highlight w:val="none"/>
              </w:rPr>
              <w:t>（如有）</w:t>
            </w:r>
          </w:p>
        </w:tc>
        <w:tc>
          <w:tcPr>
            <w:tcW w:w="6105" w:type="dxa"/>
            <w:noWrap w:val="0"/>
            <w:vAlign w:val="center"/>
          </w:tcPr>
          <w:p w14:paraId="6B8710C3">
            <w:pPr>
              <w:widowControl/>
              <w:jc w:val="left"/>
              <w:rPr>
                <w:color w:val="auto"/>
                <w:sz w:val="24"/>
                <w:highlight w:val="none"/>
              </w:rPr>
            </w:pPr>
            <w:r>
              <w:rPr>
                <w:rFonts w:hint="eastAsia" w:ascii="宋体" w:hAnsi="宋体"/>
                <w:color w:val="auto"/>
                <w:sz w:val="24"/>
                <w:highlight w:val="none"/>
              </w:rPr>
              <w:t>磋商文件</w:t>
            </w:r>
            <w:r>
              <w:rPr>
                <w:rFonts w:ascii="宋体" w:hAnsi="宋体"/>
                <w:color w:val="auto"/>
                <w:sz w:val="24"/>
                <w:highlight w:val="none"/>
              </w:rPr>
              <w:t>不接受进口产品响应</w:t>
            </w:r>
            <w:r>
              <w:rPr>
                <w:rFonts w:hint="eastAsia" w:ascii="宋体" w:hAnsi="宋体"/>
                <w:color w:val="auto"/>
                <w:sz w:val="24"/>
                <w:highlight w:val="none"/>
              </w:rPr>
              <w:t>的内容时</w:t>
            </w:r>
            <w:r>
              <w:rPr>
                <w:rFonts w:ascii="宋体" w:hAnsi="宋体"/>
                <w:color w:val="auto"/>
                <w:sz w:val="24"/>
                <w:highlight w:val="none"/>
              </w:rPr>
              <w:t>，</w:t>
            </w:r>
            <w:r>
              <w:rPr>
                <w:rFonts w:hint="eastAsia" w:ascii="宋体" w:hAnsi="宋体"/>
                <w:color w:val="auto"/>
                <w:sz w:val="24"/>
                <w:highlight w:val="none"/>
              </w:rPr>
              <w:t>供应商所投产品非进口产品的；</w:t>
            </w:r>
          </w:p>
        </w:tc>
      </w:tr>
      <w:tr w14:paraId="7E4BE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7249C7D9">
            <w:pPr>
              <w:widowControl/>
              <w:jc w:val="center"/>
              <w:rPr>
                <w:color w:val="auto"/>
                <w:sz w:val="24"/>
                <w:highlight w:val="none"/>
              </w:rPr>
            </w:pPr>
            <w:r>
              <w:rPr>
                <w:color w:val="auto"/>
                <w:sz w:val="24"/>
                <w:highlight w:val="none"/>
              </w:rPr>
              <w:t>1</w:t>
            </w:r>
            <w:r>
              <w:rPr>
                <w:rFonts w:hint="eastAsia"/>
                <w:color w:val="auto"/>
                <w:sz w:val="24"/>
                <w:highlight w:val="none"/>
              </w:rPr>
              <w:t>3</w:t>
            </w:r>
          </w:p>
        </w:tc>
        <w:tc>
          <w:tcPr>
            <w:tcW w:w="1646" w:type="dxa"/>
            <w:noWrap w:val="0"/>
            <w:vAlign w:val="center"/>
          </w:tcPr>
          <w:p w14:paraId="61E0DAE8">
            <w:pPr>
              <w:widowControl/>
              <w:jc w:val="left"/>
              <w:rPr>
                <w:color w:val="auto"/>
                <w:sz w:val="24"/>
                <w:highlight w:val="none"/>
              </w:rPr>
            </w:pPr>
            <w:r>
              <w:rPr>
                <w:color w:val="auto"/>
                <w:sz w:val="24"/>
                <w:highlight w:val="none"/>
              </w:rPr>
              <w:t>国家有关部门对供应商的响应产品有强制性规定或要求的</w:t>
            </w:r>
          </w:p>
        </w:tc>
        <w:tc>
          <w:tcPr>
            <w:tcW w:w="6105" w:type="dxa"/>
            <w:noWrap w:val="0"/>
            <w:vAlign w:val="center"/>
          </w:tcPr>
          <w:p w14:paraId="638BFC9B">
            <w:pPr>
              <w:widowControl/>
              <w:jc w:val="left"/>
              <w:rPr>
                <w:color w:val="auto"/>
                <w:sz w:val="24"/>
                <w:highlight w:val="none"/>
              </w:rPr>
            </w:pPr>
            <w:r>
              <w:rPr>
                <w:color w:val="auto"/>
                <w:sz w:val="24"/>
                <w:highlight w:val="none"/>
              </w:rPr>
              <w:t>国家有关部门对供应商的响应产品有强制性规定或要求的（如相应技术、安全、节能和环保等），供应商的响应产品</w:t>
            </w:r>
            <w:r>
              <w:rPr>
                <w:rFonts w:hint="eastAsia"/>
                <w:color w:val="auto"/>
                <w:sz w:val="24"/>
                <w:highlight w:val="none"/>
              </w:rPr>
              <w:t>应</w:t>
            </w:r>
            <w:r>
              <w:rPr>
                <w:color w:val="auto"/>
                <w:sz w:val="24"/>
                <w:highlight w:val="none"/>
              </w:rPr>
              <w:t>符合相应规定或要求</w:t>
            </w:r>
            <w:r>
              <w:rPr>
                <w:rFonts w:hint="eastAsia"/>
                <w:color w:val="auto"/>
                <w:sz w:val="24"/>
                <w:highlight w:val="none"/>
              </w:rPr>
              <w:t>，并提供证明文件电子件：</w:t>
            </w:r>
          </w:p>
          <w:p w14:paraId="434F90D8">
            <w:pPr>
              <w:widowControl/>
              <w:jc w:val="left"/>
              <w:rPr>
                <w:color w:val="auto"/>
                <w:sz w:val="24"/>
                <w:highlight w:val="none"/>
              </w:rPr>
            </w:pPr>
            <w:r>
              <w:rPr>
                <w:rFonts w:hint="eastAsia"/>
                <w:color w:val="auto"/>
                <w:sz w:val="24"/>
                <w:highlight w:val="none"/>
              </w:rPr>
              <w:t>1）</w:t>
            </w:r>
            <w:r>
              <w:rPr>
                <w:color w:val="auto"/>
                <w:sz w:val="24"/>
                <w:highlight w:val="none"/>
              </w:rPr>
              <w:t>采购的产品若属于《节能产品政府采购品目清单》范围中政府强制采购产品，则供应商所报产品必须获得国家确定的认证机构出具的、处于有效期之内的节能产品认证证书；</w:t>
            </w:r>
          </w:p>
          <w:p w14:paraId="182B415A">
            <w:pPr>
              <w:widowControl/>
              <w:jc w:val="left"/>
              <w:rPr>
                <w:color w:val="auto"/>
                <w:sz w:val="24"/>
                <w:highlight w:val="none"/>
              </w:rPr>
            </w:pPr>
            <w:r>
              <w:rPr>
                <w:rFonts w:hint="eastAsia"/>
                <w:color w:val="auto"/>
                <w:sz w:val="24"/>
                <w:highlight w:val="none"/>
              </w:rPr>
              <w:t>2）</w:t>
            </w:r>
            <w:r>
              <w:rPr>
                <w:color w:val="auto"/>
                <w:sz w:val="24"/>
                <w:highlight w:val="none"/>
              </w:rPr>
              <w:t>响应产品如涉及计算机信息系统安全专用产品的，须</w:t>
            </w:r>
            <w:r>
              <w:rPr>
                <w:rFonts w:hint="eastAsia"/>
                <w:color w:val="auto"/>
                <w:sz w:val="24"/>
                <w:highlight w:val="none"/>
              </w:rPr>
              <w:t>提供</w:t>
            </w:r>
            <w:r>
              <w:rPr>
                <w:color w:val="auto"/>
                <w:sz w:val="24"/>
                <w:highlight w:val="none"/>
              </w:rPr>
              <w:t>公安部颁发的计算机信息系统安全专用产品销售许可证；</w:t>
            </w:r>
          </w:p>
          <w:p w14:paraId="6CEE58F6">
            <w:pPr>
              <w:widowControl/>
              <w:jc w:val="lef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响应产品如有属于开展国家信息安全产品认证产品范围的，须</w:t>
            </w:r>
            <w:r>
              <w:rPr>
                <w:rFonts w:hint="eastAsia"/>
                <w:color w:val="auto"/>
                <w:sz w:val="24"/>
                <w:highlight w:val="none"/>
              </w:rPr>
              <w:t>提供</w:t>
            </w:r>
            <w:r>
              <w:rPr>
                <w:color w:val="auto"/>
                <w:sz w:val="24"/>
                <w:highlight w:val="none"/>
              </w:rPr>
              <w:t>由中国网络安全审查技术与认证中心（原中国信息安全认证中心）按国家标准认证颁发的有效认证证书等）；</w:t>
            </w:r>
          </w:p>
          <w:p w14:paraId="5A678052">
            <w:pPr>
              <w:widowControl/>
              <w:jc w:val="left"/>
              <w:rPr>
                <w:color w:val="auto"/>
                <w:sz w:val="24"/>
                <w:highlight w:val="none"/>
              </w:rPr>
            </w:pPr>
            <w:r>
              <w:rPr>
                <w:rFonts w:hint="eastAsia"/>
                <w:color w:val="auto"/>
                <w:sz w:val="24"/>
                <w:highlight w:val="none"/>
              </w:rPr>
              <w:t>4）</w:t>
            </w:r>
            <w:r>
              <w:rPr>
                <w:color w:val="auto"/>
                <w:sz w:val="24"/>
                <w:highlight w:val="none"/>
              </w:rPr>
              <w:t>国家有特殊信息安全要求的项目，采购产品涉及无线局域网产品和含有无线局域网功能的计算机、通信设备、打印机、复印机、投影仪等产品的，响应产品须为符合国家无线局域网安全标准（GB 15629.11/1102）并通过国家产品认证的产品；</w:t>
            </w:r>
          </w:p>
        </w:tc>
      </w:tr>
      <w:tr w14:paraId="6854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1DA9D29C">
            <w:pPr>
              <w:widowControl/>
              <w:jc w:val="center"/>
              <w:rPr>
                <w:color w:val="auto"/>
                <w:sz w:val="24"/>
                <w:highlight w:val="none"/>
              </w:rPr>
            </w:pPr>
            <w:r>
              <w:rPr>
                <w:color w:val="auto"/>
                <w:sz w:val="24"/>
                <w:highlight w:val="none"/>
              </w:rPr>
              <w:t>1</w:t>
            </w:r>
            <w:r>
              <w:rPr>
                <w:rFonts w:hint="eastAsia"/>
                <w:color w:val="auto"/>
                <w:sz w:val="24"/>
                <w:highlight w:val="none"/>
              </w:rPr>
              <w:t>4</w:t>
            </w:r>
          </w:p>
        </w:tc>
        <w:tc>
          <w:tcPr>
            <w:tcW w:w="1646" w:type="dxa"/>
            <w:noWrap w:val="0"/>
            <w:vAlign w:val="center"/>
          </w:tcPr>
          <w:p w14:paraId="31B4E3A1">
            <w:pPr>
              <w:widowControl/>
              <w:jc w:val="left"/>
              <w:rPr>
                <w:color w:val="auto"/>
                <w:sz w:val="24"/>
                <w:highlight w:val="none"/>
              </w:rPr>
            </w:pPr>
            <w:r>
              <w:rPr>
                <w:color w:val="auto"/>
                <w:sz w:val="24"/>
                <w:highlight w:val="none"/>
              </w:rPr>
              <w:t>公平竞争</w:t>
            </w:r>
          </w:p>
        </w:tc>
        <w:tc>
          <w:tcPr>
            <w:tcW w:w="6105" w:type="dxa"/>
            <w:noWrap w:val="0"/>
            <w:vAlign w:val="center"/>
          </w:tcPr>
          <w:p w14:paraId="360A6AA8">
            <w:pPr>
              <w:widowControl/>
              <w:jc w:val="left"/>
              <w:rPr>
                <w:color w:val="auto"/>
                <w:sz w:val="24"/>
                <w:highlight w:val="none"/>
              </w:rPr>
            </w:pPr>
            <w:r>
              <w:rPr>
                <w:color w:val="auto"/>
                <w:sz w:val="24"/>
                <w:highlight w:val="none"/>
              </w:rPr>
              <w:t>供应商遵循公平竞争的原则，不存在恶意串通，妨碍其他供应商的竞争行为，不存在损害采购人或者其他供应商的合法权益情形的；</w:t>
            </w:r>
          </w:p>
        </w:tc>
      </w:tr>
      <w:tr w14:paraId="5D375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191BD2B6">
            <w:pPr>
              <w:widowControl/>
              <w:jc w:val="center"/>
              <w:rPr>
                <w:color w:val="auto"/>
                <w:sz w:val="24"/>
                <w:highlight w:val="none"/>
              </w:rPr>
            </w:pPr>
            <w:r>
              <w:rPr>
                <w:color w:val="auto"/>
                <w:sz w:val="24"/>
                <w:highlight w:val="none"/>
              </w:rPr>
              <w:t>1</w:t>
            </w:r>
            <w:r>
              <w:rPr>
                <w:rFonts w:hint="eastAsia"/>
                <w:color w:val="auto"/>
                <w:sz w:val="24"/>
                <w:highlight w:val="none"/>
              </w:rPr>
              <w:t>5</w:t>
            </w:r>
          </w:p>
        </w:tc>
        <w:tc>
          <w:tcPr>
            <w:tcW w:w="1646" w:type="dxa"/>
            <w:noWrap w:val="0"/>
            <w:vAlign w:val="center"/>
          </w:tcPr>
          <w:p w14:paraId="64D337C2">
            <w:pPr>
              <w:widowControl/>
              <w:jc w:val="left"/>
              <w:rPr>
                <w:rFonts w:hint="eastAsia" w:eastAsia="宋体"/>
                <w:color w:val="auto"/>
                <w:sz w:val="24"/>
                <w:highlight w:val="none"/>
                <w:lang w:eastAsia="zh-CN"/>
              </w:rPr>
            </w:pPr>
            <w:r>
              <w:rPr>
                <w:rFonts w:hint="eastAsia"/>
                <w:color w:val="auto"/>
                <w:sz w:val="24"/>
                <w:highlight w:val="none"/>
                <w:lang w:eastAsia="zh-CN"/>
              </w:rPr>
              <w:t>串通投标</w:t>
            </w:r>
          </w:p>
        </w:tc>
        <w:tc>
          <w:tcPr>
            <w:tcW w:w="6105" w:type="dxa"/>
            <w:noWrap w:val="0"/>
            <w:vAlign w:val="center"/>
          </w:tcPr>
          <w:p w14:paraId="27B7A81D">
            <w:pPr>
              <w:widowControl/>
              <w:jc w:val="left"/>
              <w:rPr>
                <w:color w:val="auto"/>
                <w:sz w:val="24"/>
                <w:highlight w:val="none"/>
              </w:rPr>
            </w:pPr>
            <w:r>
              <w:rPr>
                <w:rFonts w:hint="eastAsia"/>
                <w:color w:val="auto"/>
                <w:sz w:val="24"/>
                <w:highlight w:val="none"/>
              </w:rPr>
              <w:t>不存在</w:t>
            </w:r>
            <w:r>
              <w:rPr>
                <w:rFonts w:hint="eastAsia"/>
                <w:color w:val="auto"/>
                <w:sz w:val="24"/>
                <w:highlight w:val="none"/>
                <w:lang w:eastAsia="zh-CN"/>
              </w:rPr>
              <w:t>串通投标</w:t>
            </w:r>
            <w:r>
              <w:rPr>
                <w:rFonts w:hint="eastAsia"/>
                <w:color w:val="auto"/>
                <w:sz w:val="24"/>
                <w:highlight w:val="none"/>
              </w:rPr>
              <w:t>的情形：（一）不同供应商的响应文件由同一单位或者个人编制</w:t>
            </w:r>
            <w:r>
              <w:rPr>
                <w:rFonts w:hint="eastAsia" w:ascii="宋体" w:hAnsi="宋体"/>
                <w:color w:val="auto"/>
                <w:sz w:val="24"/>
                <w:highlight w:val="none"/>
              </w:rPr>
              <w:t>（包含使用同一MAC地址的计算机制作电子响应文件的情形）</w:t>
            </w:r>
            <w:r>
              <w:rPr>
                <w:rFonts w:hint="eastAsia"/>
                <w:color w:val="auto"/>
                <w:sz w:val="24"/>
                <w:highlight w:val="none"/>
              </w:rPr>
              <w:t>；（二）不同供应商委托同一单位或者个人办理响应事宜</w:t>
            </w:r>
            <w:r>
              <w:rPr>
                <w:rFonts w:hint="eastAsia" w:ascii="宋体" w:hAnsi="宋体"/>
                <w:color w:val="auto"/>
                <w:sz w:val="24"/>
                <w:highlight w:val="none"/>
              </w:rPr>
              <w:t>（包含使用同一MAC地址的计算机提交或者解密电子响应文件的情形）</w:t>
            </w:r>
            <w:r>
              <w:rPr>
                <w:rFonts w:hint="eastAsia"/>
                <w:color w:val="auto"/>
                <w:sz w:val="24"/>
                <w:highlight w:val="none"/>
              </w:rPr>
              <w:t>；（三）不同供应商的响应文件载明的项目管理成员或者联系人员为同一人；（四）不同供应商的响应文件异常一致或者响应报价呈规律 性差异；（五）不同供应商的响应文件相互混装；（六）不同供应商的响应保证金从同一单位或者个人的账户转出</w:t>
            </w:r>
            <w:r>
              <w:rPr>
                <w:color w:val="auto"/>
                <w:sz w:val="24"/>
                <w:highlight w:val="none"/>
              </w:rPr>
              <w:t>；</w:t>
            </w:r>
          </w:p>
        </w:tc>
      </w:tr>
      <w:tr w14:paraId="2CF5B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28D3FF3C">
            <w:pPr>
              <w:widowControl/>
              <w:jc w:val="center"/>
              <w:rPr>
                <w:color w:val="auto"/>
                <w:sz w:val="24"/>
                <w:highlight w:val="none"/>
              </w:rPr>
            </w:pPr>
            <w:r>
              <w:rPr>
                <w:color w:val="auto"/>
                <w:sz w:val="24"/>
                <w:highlight w:val="none"/>
              </w:rPr>
              <w:t>1</w:t>
            </w:r>
            <w:r>
              <w:rPr>
                <w:rFonts w:hint="eastAsia"/>
                <w:color w:val="auto"/>
                <w:sz w:val="24"/>
                <w:highlight w:val="none"/>
              </w:rPr>
              <w:t>6</w:t>
            </w:r>
          </w:p>
        </w:tc>
        <w:tc>
          <w:tcPr>
            <w:tcW w:w="1646" w:type="dxa"/>
            <w:noWrap w:val="0"/>
            <w:vAlign w:val="center"/>
          </w:tcPr>
          <w:p w14:paraId="406DAFB0">
            <w:pPr>
              <w:widowControl/>
              <w:jc w:val="left"/>
              <w:rPr>
                <w:color w:val="auto"/>
                <w:sz w:val="24"/>
                <w:highlight w:val="none"/>
              </w:rPr>
            </w:pPr>
            <w:r>
              <w:rPr>
                <w:color w:val="auto"/>
                <w:sz w:val="24"/>
                <w:highlight w:val="none"/>
              </w:rPr>
              <w:t>附加条件</w:t>
            </w:r>
          </w:p>
        </w:tc>
        <w:tc>
          <w:tcPr>
            <w:tcW w:w="6105" w:type="dxa"/>
            <w:noWrap w:val="0"/>
            <w:vAlign w:val="center"/>
          </w:tcPr>
          <w:p w14:paraId="755A409F">
            <w:pPr>
              <w:widowControl/>
              <w:jc w:val="left"/>
              <w:rPr>
                <w:color w:val="auto"/>
                <w:sz w:val="24"/>
                <w:highlight w:val="none"/>
              </w:rPr>
            </w:pPr>
            <w:r>
              <w:rPr>
                <w:color w:val="auto"/>
                <w:sz w:val="24"/>
                <w:highlight w:val="none"/>
              </w:rPr>
              <w:t>响应文件</w:t>
            </w:r>
            <w:r>
              <w:rPr>
                <w:rFonts w:hint="eastAsia"/>
                <w:color w:val="auto"/>
                <w:sz w:val="24"/>
                <w:highlight w:val="none"/>
              </w:rPr>
              <w:t>未</w:t>
            </w:r>
            <w:r>
              <w:rPr>
                <w:color w:val="auto"/>
                <w:sz w:val="24"/>
                <w:highlight w:val="none"/>
              </w:rPr>
              <w:t>含有采购人不能接受的附加条件的；</w:t>
            </w:r>
          </w:p>
        </w:tc>
      </w:tr>
      <w:tr w14:paraId="282DB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71" w:type="dxa"/>
            <w:noWrap w:val="0"/>
            <w:vAlign w:val="center"/>
          </w:tcPr>
          <w:p w14:paraId="21E0A0A2">
            <w:pPr>
              <w:widowControl/>
              <w:jc w:val="center"/>
              <w:rPr>
                <w:color w:val="auto"/>
                <w:sz w:val="24"/>
                <w:highlight w:val="none"/>
              </w:rPr>
            </w:pPr>
            <w:r>
              <w:rPr>
                <w:rFonts w:hint="eastAsia"/>
                <w:color w:val="auto"/>
                <w:sz w:val="24"/>
                <w:highlight w:val="none"/>
              </w:rPr>
              <w:t>17</w:t>
            </w:r>
          </w:p>
        </w:tc>
        <w:tc>
          <w:tcPr>
            <w:tcW w:w="1646" w:type="dxa"/>
            <w:noWrap w:val="0"/>
            <w:vAlign w:val="center"/>
          </w:tcPr>
          <w:p w14:paraId="65E372D8">
            <w:pPr>
              <w:widowControl/>
              <w:jc w:val="left"/>
              <w:rPr>
                <w:color w:val="auto"/>
                <w:sz w:val="24"/>
                <w:highlight w:val="none"/>
              </w:rPr>
            </w:pPr>
            <w:r>
              <w:rPr>
                <w:color w:val="auto"/>
                <w:sz w:val="24"/>
                <w:highlight w:val="none"/>
              </w:rPr>
              <w:t>其他无效情形</w:t>
            </w:r>
          </w:p>
        </w:tc>
        <w:tc>
          <w:tcPr>
            <w:tcW w:w="6105" w:type="dxa"/>
            <w:noWrap w:val="0"/>
            <w:vAlign w:val="center"/>
          </w:tcPr>
          <w:p w14:paraId="6A450050">
            <w:pPr>
              <w:widowControl/>
              <w:jc w:val="left"/>
              <w:rPr>
                <w:color w:val="auto"/>
                <w:sz w:val="24"/>
                <w:highlight w:val="none"/>
              </w:rPr>
            </w:pPr>
            <w:r>
              <w:rPr>
                <w:color w:val="auto"/>
                <w:sz w:val="24"/>
                <w:highlight w:val="none"/>
              </w:rPr>
              <w:t>供应商、响应文件</w:t>
            </w:r>
            <w:r>
              <w:rPr>
                <w:rFonts w:hint="eastAsia"/>
                <w:color w:val="auto"/>
                <w:sz w:val="24"/>
                <w:highlight w:val="none"/>
              </w:rPr>
              <w:t>不存在</w:t>
            </w:r>
            <w:r>
              <w:rPr>
                <w:color w:val="auto"/>
                <w:sz w:val="24"/>
                <w:highlight w:val="none"/>
              </w:rPr>
              <w:t>不符合法律、法规和磋商文件规定的其他无效情形。</w:t>
            </w:r>
          </w:p>
        </w:tc>
      </w:tr>
    </w:tbl>
    <w:p w14:paraId="7CA0B11F">
      <w:pPr>
        <w:numPr>
          <w:ilvl w:val="0"/>
          <w:numId w:val="10"/>
        </w:numPr>
        <w:tabs>
          <w:tab w:val="left" w:pos="360"/>
        </w:tabs>
        <w:spacing w:line="360" w:lineRule="auto"/>
        <w:outlineLvl w:val="1"/>
        <w:rPr>
          <w:color w:val="auto"/>
          <w:sz w:val="24"/>
          <w:highlight w:val="none"/>
        </w:rPr>
      </w:pPr>
      <w:r>
        <w:rPr>
          <w:color w:val="auto"/>
          <w:sz w:val="24"/>
          <w:highlight w:val="none"/>
        </w:rPr>
        <w:t>磋商、响应文件有关事项的澄清、说明或者更正和最终报价</w:t>
      </w:r>
    </w:p>
    <w:p w14:paraId="164E962A">
      <w:pPr>
        <w:numPr>
          <w:ilvl w:val="1"/>
          <w:numId w:val="10"/>
        </w:numPr>
        <w:tabs>
          <w:tab w:val="left" w:pos="1080"/>
        </w:tabs>
        <w:spacing w:line="360" w:lineRule="auto"/>
        <w:ind w:left="1140" w:hanging="720"/>
        <w:rPr>
          <w:color w:val="auto"/>
          <w:sz w:val="24"/>
          <w:highlight w:val="none"/>
        </w:rPr>
      </w:pPr>
      <w:r>
        <w:rPr>
          <w:color w:val="auto"/>
          <w:sz w:val="24"/>
          <w:highlight w:val="none"/>
        </w:rPr>
        <w:t>磋商小组所有成员应当集中与单一供应商分别进行磋商，并给予所有参加磋商的供应商平等的磋商机会。</w:t>
      </w:r>
    </w:p>
    <w:p w14:paraId="1BA25CC0">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644D0328">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对磋商文件作出的实质性变动是磋商文件的有效组成部分，磋商小组应当及时以书面形式同时通知所有参加磋商的供应商。</w:t>
      </w:r>
    </w:p>
    <w:p w14:paraId="410D2EC4">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AD82678">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响应文件的澄清、说明或者更正</w:t>
      </w:r>
      <w:r>
        <w:rPr>
          <w:rFonts w:hint="eastAsia"/>
          <w:color w:val="auto"/>
          <w:sz w:val="24"/>
          <w:highlight w:val="none"/>
        </w:rPr>
        <w:t>：</w:t>
      </w:r>
    </w:p>
    <w:p w14:paraId="08357538">
      <w:pPr>
        <w:tabs>
          <w:tab w:val="left" w:pos="1980"/>
        </w:tabs>
        <w:spacing w:line="360" w:lineRule="auto"/>
        <w:ind w:left="1080"/>
        <w:rPr>
          <w:rFonts w:ascii="宋体" w:hAnsi="宋体" w:cs="宋体"/>
          <w:color w:val="auto"/>
          <w:sz w:val="24"/>
          <w:highlight w:val="none"/>
        </w:rPr>
      </w:pPr>
      <w:r>
        <w:rPr>
          <w:rFonts w:hint="eastAsia"/>
          <w:color w:val="auto"/>
          <w:sz w:val="24"/>
          <w:highlight w:val="none"/>
        </w:rPr>
        <w:t>评审</w:t>
      </w:r>
      <w:r>
        <w:rPr>
          <w:color w:val="auto"/>
          <w:sz w:val="24"/>
          <w:highlight w:val="none"/>
        </w:rPr>
        <w:t>过程中，</w:t>
      </w:r>
      <w:r>
        <w:rPr>
          <w:rFonts w:hint="eastAsia"/>
          <w:color w:val="auto"/>
          <w:sz w:val="24"/>
          <w:highlight w:val="none"/>
        </w:rPr>
        <w:t>为有助于对响应文件的审查、评价和比较，磋商小组有权要求供应商对</w:t>
      </w:r>
      <w:r>
        <w:rPr>
          <w:color w:val="auto"/>
          <w:sz w:val="24"/>
          <w:highlight w:val="none"/>
        </w:rPr>
        <w:t>对其</w:t>
      </w:r>
      <w:r>
        <w:rPr>
          <w:rFonts w:hint="eastAsia"/>
          <w:color w:val="auto"/>
          <w:sz w:val="24"/>
          <w:highlight w:val="none"/>
        </w:rPr>
        <w:t>响应</w:t>
      </w:r>
      <w:r>
        <w:rPr>
          <w:color w:val="auto"/>
          <w:sz w:val="24"/>
          <w:highlight w:val="none"/>
        </w:rPr>
        <w:t>文件中含义不明确、同类问题表述不一致或者有明显文字和计算错误的内容，作出必要的澄清、说明或者补正</w:t>
      </w:r>
      <w:r>
        <w:rPr>
          <w:rFonts w:hint="eastAsia"/>
          <w:color w:val="auto"/>
          <w:sz w:val="24"/>
          <w:highlight w:val="none"/>
        </w:rPr>
        <w:t>。供应商</w:t>
      </w:r>
      <w:r>
        <w:rPr>
          <w:color w:val="auto"/>
          <w:sz w:val="24"/>
          <w:highlight w:val="none"/>
        </w:rPr>
        <w:t>的澄清、说明或者补正应当采用书面形式，由供应商法定代表人或授权代表签署。</w:t>
      </w:r>
      <w:r>
        <w:rPr>
          <w:rFonts w:hint="eastAsia"/>
          <w:color w:val="auto"/>
          <w:sz w:val="24"/>
          <w:highlight w:val="none"/>
        </w:rPr>
        <w:t>供应商</w:t>
      </w:r>
      <w:r>
        <w:rPr>
          <w:color w:val="auto"/>
          <w:sz w:val="24"/>
          <w:highlight w:val="none"/>
        </w:rPr>
        <w:t>的澄清、说明或者补正不得超出</w:t>
      </w:r>
      <w:r>
        <w:rPr>
          <w:rFonts w:hint="eastAsia"/>
          <w:color w:val="auto"/>
          <w:sz w:val="24"/>
          <w:highlight w:val="none"/>
        </w:rPr>
        <w:t>响应</w:t>
      </w:r>
      <w:r>
        <w:rPr>
          <w:color w:val="auto"/>
          <w:sz w:val="24"/>
          <w:highlight w:val="none"/>
        </w:rPr>
        <w:t>文件的范围或者改变</w:t>
      </w:r>
      <w:r>
        <w:rPr>
          <w:rFonts w:hint="eastAsia"/>
          <w:color w:val="auto"/>
          <w:sz w:val="24"/>
          <w:highlight w:val="none"/>
        </w:rPr>
        <w:t>响应</w:t>
      </w:r>
      <w:r>
        <w:rPr>
          <w:color w:val="auto"/>
          <w:sz w:val="24"/>
          <w:highlight w:val="none"/>
        </w:rPr>
        <w:t>文件的实质性内容。澄清文件将作为</w:t>
      </w:r>
      <w:r>
        <w:rPr>
          <w:rFonts w:hint="eastAsia"/>
          <w:color w:val="auto"/>
          <w:sz w:val="24"/>
          <w:highlight w:val="none"/>
        </w:rPr>
        <w:t>响应</w:t>
      </w:r>
      <w:r>
        <w:rPr>
          <w:color w:val="auto"/>
          <w:sz w:val="24"/>
          <w:highlight w:val="none"/>
        </w:rPr>
        <w:t>文件内容的一部分。</w:t>
      </w:r>
    </w:p>
    <w:p w14:paraId="7390CC92">
      <w:pPr>
        <w:numPr>
          <w:ilvl w:val="1"/>
          <w:numId w:val="10"/>
        </w:numPr>
        <w:tabs>
          <w:tab w:val="left" w:pos="1080"/>
          <w:tab w:val="left" w:pos="1872"/>
        </w:tabs>
        <w:spacing w:line="360" w:lineRule="auto"/>
        <w:ind w:left="1140" w:hanging="720"/>
        <w:rPr>
          <w:color w:val="auto"/>
          <w:sz w:val="24"/>
          <w:highlight w:val="none"/>
        </w:rPr>
      </w:pPr>
      <w:r>
        <w:rPr>
          <w:rFonts w:hint="eastAsia" w:ascii="宋体" w:hAnsi="宋体" w:cs="宋体"/>
          <w:b/>
          <w:color w:val="auto"/>
          <w:sz w:val="24"/>
          <w:highlight w:val="none"/>
        </w:rPr>
        <w:t>磋商结束后，磋商小组将要求所有实质性响应的供应商在规定时间内通过政府采购一体化平台“苏采云”系统提交最终报价（</w:t>
      </w:r>
      <w:r>
        <w:rPr>
          <w:rFonts w:hint="eastAsia" w:ascii="宋体" w:hAnsi="宋体" w:cs="宋体"/>
          <w:b/>
          <w:bCs/>
          <w:color w:val="auto"/>
          <w:sz w:val="24"/>
          <w:highlight w:val="none"/>
          <w:u w:val="single"/>
        </w:rPr>
        <w:t>本项目采用两次报价，响应文件的报价作为首次报价，在磋商结束后，磋商小组应当要求所有实质性响应的供应商在规定时间内提交最终报价</w:t>
      </w:r>
      <w:r>
        <w:rPr>
          <w:rFonts w:hint="eastAsia" w:ascii="宋体" w:hAnsi="宋体" w:cs="宋体"/>
          <w:b/>
          <w:bCs/>
          <w:color w:val="auto"/>
          <w:sz w:val="24"/>
          <w:highlight w:val="none"/>
          <w:u w:val="single"/>
          <w:lang w:eastAsia="zh-CN"/>
        </w:rPr>
        <w:t>。）</w:t>
      </w:r>
    </w:p>
    <w:p w14:paraId="5504574F">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文件能够详细列明采购标的的技术、服务要求的，磋商结束后，磋商小组应当要求所有实质性响应的供应商在规定时间内提交最终报价，提交最终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市场竞争不充分的科研项目，以及需要扶持的科技成果转化项目，提交最终报价的供应商可以为2家；政府购买服务项目（含政府和社会资本合作项目），在采购过程中符合要求的供应商（社会资本）只有2家的，竞争性磋商采购活动可以继续进行。</w:t>
      </w:r>
    </w:p>
    <w:p w14:paraId="2187B6C6">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最终报价是供应商响应文件的有效组成部分。</w:t>
      </w:r>
    </w:p>
    <w:p w14:paraId="6055E4F5">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已提交响应文件的供应商，在提交最终报价之前，可以根据磋商情况退出磋商。</w:t>
      </w:r>
    </w:p>
    <w:p w14:paraId="71205DE2">
      <w:pPr>
        <w:numPr>
          <w:ilvl w:val="0"/>
          <w:numId w:val="10"/>
        </w:numPr>
        <w:tabs>
          <w:tab w:val="left" w:pos="360"/>
        </w:tabs>
        <w:spacing w:line="360" w:lineRule="auto"/>
        <w:outlineLvl w:val="1"/>
        <w:rPr>
          <w:color w:val="auto"/>
          <w:sz w:val="24"/>
          <w:highlight w:val="none"/>
        </w:rPr>
      </w:pPr>
      <w:r>
        <w:rPr>
          <w:color w:val="auto"/>
          <w:sz w:val="24"/>
          <w:highlight w:val="none"/>
        </w:rPr>
        <w:t>最终报价的算术修正及政策调整</w:t>
      </w:r>
    </w:p>
    <w:p w14:paraId="1969B48C">
      <w:pPr>
        <w:numPr>
          <w:ilvl w:val="1"/>
          <w:numId w:val="10"/>
        </w:numPr>
        <w:tabs>
          <w:tab w:val="left" w:pos="1080"/>
        </w:tabs>
        <w:spacing w:line="360" w:lineRule="auto"/>
        <w:ind w:left="1140" w:hanging="720"/>
        <w:rPr>
          <w:color w:val="auto"/>
          <w:sz w:val="24"/>
          <w:highlight w:val="none"/>
        </w:rPr>
      </w:pPr>
      <w:r>
        <w:rPr>
          <w:color w:val="auto"/>
          <w:sz w:val="24"/>
          <w:highlight w:val="none"/>
        </w:rPr>
        <w:t>最终报价须包含竞争性磋商文件全部内容，如</w:t>
      </w:r>
      <w:r>
        <w:rPr>
          <w:rFonts w:hint="eastAsia"/>
          <w:color w:val="auto"/>
          <w:sz w:val="24"/>
          <w:highlight w:val="none"/>
        </w:rPr>
        <w:t>最后</w:t>
      </w:r>
      <w:r>
        <w:rPr>
          <w:color w:val="auto"/>
          <w:sz w:val="24"/>
          <w:highlight w:val="none"/>
        </w:rPr>
        <w:t>分项报价表有缺漏视为已含在其他各项报价中，将不对最终报价总价进行调整。磋商小组有权要求供应商在评审现场合理的时间内对此进行书面确认，供应商不确认的，视为将一个采购包中的内容拆开响应，其</w:t>
      </w:r>
      <w:r>
        <w:rPr>
          <w:b/>
          <w:color w:val="auto"/>
          <w:sz w:val="24"/>
          <w:highlight w:val="none"/>
        </w:rPr>
        <w:t>响应无效</w:t>
      </w:r>
      <w:r>
        <w:rPr>
          <w:color w:val="auto"/>
          <w:sz w:val="24"/>
          <w:highlight w:val="none"/>
        </w:rPr>
        <w:t>。</w:t>
      </w:r>
    </w:p>
    <w:p w14:paraId="76C365E5">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最终报价出现前后不一致的，按照下列规定修正：</w:t>
      </w:r>
    </w:p>
    <w:p w14:paraId="116EE96E">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竞争性磋商文件对于报价修正是否另有规定：</w:t>
      </w:r>
    </w:p>
    <w:p w14:paraId="671D9495">
      <w:pPr>
        <w:tabs>
          <w:tab w:val="left" w:pos="1080"/>
          <w:tab w:val="left" w:pos="1589"/>
          <w:tab w:val="left" w:pos="2035"/>
          <w:tab w:val="left" w:pos="2114"/>
        </w:tabs>
        <w:spacing w:line="360" w:lineRule="auto"/>
        <w:ind w:left="2035"/>
        <w:rPr>
          <w:color w:val="auto"/>
          <w:sz w:val="24"/>
          <w:highlight w:val="none"/>
          <w:u w:val="single"/>
        </w:rPr>
      </w:pPr>
      <w:r>
        <w:rPr>
          <w:color w:val="auto"/>
          <w:sz w:val="24"/>
          <w:highlight w:val="none"/>
        </w:rPr>
        <w:t>□有，具体规定为：______</w:t>
      </w:r>
      <w:r>
        <w:rPr>
          <w:rFonts w:hint="eastAsia"/>
          <w:color w:val="auto"/>
          <w:sz w:val="24"/>
          <w:highlight w:val="none"/>
        </w:rPr>
        <w:t>/</w:t>
      </w:r>
      <w:r>
        <w:rPr>
          <w:color w:val="auto"/>
          <w:sz w:val="24"/>
          <w:highlight w:val="none"/>
        </w:rPr>
        <w:t>_____</w:t>
      </w:r>
    </w:p>
    <w:p w14:paraId="44F4EA63">
      <w:pPr>
        <w:tabs>
          <w:tab w:val="left" w:pos="1080"/>
          <w:tab w:val="left" w:pos="1589"/>
          <w:tab w:val="left" w:pos="2035"/>
          <w:tab w:val="left" w:pos="2114"/>
        </w:tabs>
        <w:spacing w:line="360" w:lineRule="auto"/>
        <w:ind w:left="2035"/>
        <w:rPr>
          <w:color w:val="auto"/>
          <w:sz w:val="24"/>
          <w:highlight w:val="none"/>
        </w:rPr>
      </w:pPr>
      <w:r>
        <w:rPr>
          <w:rFonts w:hint="eastAsia" w:ascii="宋体" w:hAnsi="宋体" w:cs="宋体"/>
          <w:color w:val="auto"/>
          <w:highlight w:val="none"/>
        </w:rPr>
        <w:t>■</w:t>
      </w:r>
      <w:r>
        <w:rPr>
          <w:color w:val="auto"/>
          <w:sz w:val="24"/>
          <w:highlight w:val="none"/>
        </w:rPr>
        <w:t>无，按下述3.2.2-3.2.5项规定修正。</w:t>
      </w:r>
    </w:p>
    <w:p w14:paraId="044EA0AE">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大写金额和小写金额不一致的，以大写金额为准；</w:t>
      </w:r>
    </w:p>
    <w:p w14:paraId="1799264F">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单价金额小数点或者百分比有明显错位的，以最终报价一览表的总价为准，并修改单价；</w:t>
      </w:r>
    </w:p>
    <w:p w14:paraId="4ACC9781">
      <w:pPr>
        <w:numPr>
          <w:ilvl w:val="2"/>
          <w:numId w:val="10"/>
        </w:numPr>
        <w:tabs>
          <w:tab w:val="left" w:pos="2035"/>
          <w:tab w:val="left" w:pos="2114"/>
          <w:tab w:val="left" w:pos="2977"/>
        </w:tabs>
        <w:spacing w:line="360" w:lineRule="auto"/>
        <w:ind w:left="2035"/>
        <w:rPr>
          <w:color w:val="auto"/>
          <w:sz w:val="24"/>
          <w:highlight w:val="none"/>
        </w:rPr>
      </w:pPr>
      <w:r>
        <w:rPr>
          <w:color w:val="auto"/>
          <w:sz w:val="24"/>
          <w:highlight w:val="none"/>
        </w:rPr>
        <w:t>总价金额与按单价汇总金额不一致的，以单价金额计算结果为准。</w:t>
      </w:r>
    </w:p>
    <w:p w14:paraId="198F11DE">
      <w:pPr>
        <w:numPr>
          <w:ilvl w:val="2"/>
          <w:numId w:val="10"/>
        </w:numPr>
        <w:tabs>
          <w:tab w:val="left" w:pos="1080"/>
          <w:tab w:val="left" w:pos="1589"/>
          <w:tab w:val="left" w:pos="2035"/>
          <w:tab w:val="left" w:pos="2114"/>
        </w:tabs>
        <w:spacing w:line="360" w:lineRule="auto"/>
        <w:ind w:left="2035"/>
        <w:rPr>
          <w:color w:val="auto"/>
          <w:sz w:val="24"/>
          <w:highlight w:val="none"/>
        </w:rPr>
      </w:pPr>
      <w:r>
        <w:rPr>
          <w:color w:val="auto"/>
          <w:sz w:val="24"/>
          <w:highlight w:val="none"/>
        </w:rPr>
        <w:t>同时出现两种以上不一致的，按照前款规定的顺序修正。修正后的报价经供应商书面确认后产生约束力，供应商不确认的，</w:t>
      </w:r>
      <w:r>
        <w:rPr>
          <w:b/>
          <w:color w:val="auto"/>
          <w:sz w:val="24"/>
          <w:highlight w:val="none"/>
        </w:rPr>
        <w:t>其响应无效</w:t>
      </w:r>
      <w:r>
        <w:rPr>
          <w:color w:val="auto"/>
          <w:sz w:val="24"/>
          <w:highlight w:val="none"/>
        </w:rPr>
        <w:t>。</w:t>
      </w:r>
    </w:p>
    <w:p w14:paraId="48B5982E">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落实政府采购政策的价格调整：只有符合第二章《供应商须知》4.2条规定情形的，可以享受中小企业扶持政策，用扣除后的价格参加评审；否则，评审时价格不予扣除。</w:t>
      </w:r>
    </w:p>
    <w:p w14:paraId="7CA4082B">
      <w:pPr>
        <w:numPr>
          <w:ilvl w:val="2"/>
          <w:numId w:val="10"/>
        </w:numPr>
        <w:spacing w:line="360" w:lineRule="auto"/>
        <w:rPr>
          <w:color w:val="auto"/>
          <w:sz w:val="24"/>
          <w:highlight w:val="none"/>
        </w:rPr>
      </w:pPr>
      <w:r>
        <w:rPr>
          <w:color w:val="auto"/>
          <w:sz w:val="24"/>
          <w:highlight w:val="none"/>
        </w:rPr>
        <w:t>对于未预留份额专门面向中小企业采购的采购项目，以及预留份额项目中的非预留部分采购包，对</w:t>
      </w:r>
      <w:r>
        <w:rPr>
          <w:b/>
          <w:color w:val="auto"/>
          <w:sz w:val="24"/>
          <w:highlight w:val="none"/>
        </w:rPr>
        <w:t>小微企业</w:t>
      </w:r>
      <w:r>
        <w:rPr>
          <w:color w:val="auto"/>
          <w:sz w:val="24"/>
          <w:highlight w:val="none"/>
        </w:rPr>
        <w:t>报价给予</w:t>
      </w:r>
      <w:r>
        <w:rPr>
          <w:rFonts w:hint="eastAsia"/>
          <w:color w:val="auto"/>
          <w:sz w:val="24"/>
          <w:highlight w:val="none"/>
        </w:rPr>
        <w:t>20</w:t>
      </w:r>
      <w:r>
        <w:rPr>
          <w:color w:val="auto"/>
          <w:sz w:val="24"/>
          <w:highlight w:val="none"/>
        </w:rPr>
        <w:t>%的扣除，用扣除后的价格参加评审。</w:t>
      </w:r>
    </w:p>
    <w:p w14:paraId="3F2C8DDC">
      <w:pPr>
        <w:numPr>
          <w:ilvl w:val="2"/>
          <w:numId w:val="10"/>
        </w:numPr>
        <w:spacing w:line="360" w:lineRule="auto"/>
        <w:rPr>
          <w:color w:val="auto"/>
          <w:sz w:val="24"/>
          <w:highlight w:val="none"/>
        </w:rPr>
      </w:pPr>
      <w:r>
        <w:rPr>
          <w:color w:val="auto"/>
          <w:sz w:val="24"/>
          <w:highlight w:val="none"/>
        </w:rPr>
        <w:t>对于未预留份额专门面向中小企业采购的采购项目，以及预留份额项目中的非预留部分采购包，且接受大中型企业与</w:t>
      </w:r>
      <w:r>
        <w:rPr>
          <w:b/>
          <w:color w:val="auto"/>
          <w:sz w:val="24"/>
          <w:highlight w:val="none"/>
        </w:rPr>
        <w:t>小微企业</w:t>
      </w:r>
      <w:r>
        <w:rPr>
          <w:color w:val="auto"/>
          <w:sz w:val="24"/>
          <w:highlight w:val="none"/>
        </w:rPr>
        <w:t>组成联合体或者允许大中型企业向一家或者多家</w:t>
      </w:r>
      <w:r>
        <w:rPr>
          <w:b/>
          <w:color w:val="auto"/>
          <w:sz w:val="24"/>
          <w:highlight w:val="none"/>
        </w:rPr>
        <w:t>小微企业</w:t>
      </w:r>
      <w:r>
        <w:rPr>
          <w:color w:val="auto"/>
          <w:sz w:val="24"/>
          <w:highlight w:val="none"/>
        </w:rPr>
        <w:t>分包的采购项目，对于联合协议或者分包意向协议约定</w:t>
      </w:r>
      <w:r>
        <w:rPr>
          <w:b/>
          <w:color w:val="auto"/>
          <w:sz w:val="24"/>
          <w:highlight w:val="none"/>
        </w:rPr>
        <w:t>小微企业</w:t>
      </w:r>
      <w:r>
        <w:rPr>
          <w:color w:val="auto"/>
          <w:sz w:val="24"/>
          <w:highlight w:val="none"/>
        </w:rPr>
        <w:t>的合同份额占到合同总金额 30%以上的联合体或者大中型企业的报价给予</w:t>
      </w:r>
      <w:r>
        <w:rPr>
          <w:rFonts w:hint="eastAsia"/>
          <w:color w:val="auto"/>
          <w:sz w:val="24"/>
          <w:highlight w:val="none"/>
        </w:rPr>
        <w:t>3</w:t>
      </w:r>
      <w:r>
        <w:rPr>
          <w:color w:val="auto"/>
          <w:sz w:val="24"/>
          <w:highlight w:val="none"/>
        </w:rPr>
        <w:t>%的扣除，用扣除后的价格参加评审。</w:t>
      </w:r>
    </w:p>
    <w:p w14:paraId="43CB340E">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3C3B4C01">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价格扣除比例对小型企业和微型企业同等对待，不作区分。</w:t>
      </w:r>
    </w:p>
    <w:p w14:paraId="7AFF9CAB">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中小企业参加政府采购活动，应当按照竞争性磋商文件给定的格式出具《中小企业声明函》，否则不得享受相关中小企业扶持政策。</w:t>
      </w:r>
    </w:p>
    <w:p w14:paraId="6064CED6">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监狱企业提供了由省级以上监狱管理局（常州市含教育矫治局）、戒毒管理局（含新疆生产建设兵团）出具的属于监狱企业的证明文件的，视同小微企业。</w:t>
      </w:r>
    </w:p>
    <w:p w14:paraId="622920A0">
      <w:pPr>
        <w:numPr>
          <w:ilvl w:val="2"/>
          <w:numId w:val="10"/>
        </w:numPr>
        <w:tabs>
          <w:tab w:val="left" w:pos="1080"/>
          <w:tab w:val="left" w:pos="1589"/>
          <w:tab w:val="left" w:pos="2035"/>
        </w:tabs>
        <w:spacing w:line="360" w:lineRule="auto"/>
        <w:ind w:left="2035"/>
        <w:rPr>
          <w:color w:val="auto"/>
          <w:sz w:val="24"/>
          <w:highlight w:val="none"/>
        </w:rPr>
      </w:pPr>
      <w:r>
        <w:rPr>
          <w:color w:val="auto"/>
          <w:sz w:val="24"/>
          <w:highlight w:val="none"/>
        </w:rPr>
        <w:t>残疾人福利性单位按竞争性磋商文件要求提供了《残疾人福利性单位声明函》（见附件）的，视同小微企业。</w:t>
      </w:r>
    </w:p>
    <w:p w14:paraId="70839BFE">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若供应商同时属于小型或微型企业、监狱企业、残疾人福利性单位中的两种及以上，将不重复享受小微企业价格扣减的优惠政策。</w:t>
      </w:r>
    </w:p>
    <w:p w14:paraId="6B133399">
      <w:pPr>
        <w:numPr>
          <w:ilvl w:val="2"/>
          <w:numId w:val="10"/>
        </w:numPr>
        <w:tabs>
          <w:tab w:val="left" w:pos="1080"/>
          <w:tab w:val="left" w:pos="1589"/>
          <w:tab w:val="left" w:pos="2014"/>
        </w:tabs>
        <w:spacing w:line="360" w:lineRule="auto"/>
        <w:ind w:left="2035"/>
        <w:rPr>
          <w:color w:val="auto"/>
          <w:sz w:val="24"/>
          <w:highlight w:val="none"/>
        </w:rPr>
      </w:pPr>
      <w:r>
        <w:rPr>
          <w:color w:val="auto"/>
          <w:sz w:val="24"/>
          <w:highlight w:val="none"/>
        </w:rPr>
        <w:t>其他为落实政府采购政策实施的优先采购：___</w:t>
      </w:r>
      <w:r>
        <w:rPr>
          <w:rFonts w:hint="eastAsia"/>
          <w:color w:val="auto"/>
          <w:sz w:val="24"/>
          <w:highlight w:val="none"/>
        </w:rPr>
        <w:t>/</w:t>
      </w:r>
      <w:r>
        <w:rPr>
          <w:color w:val="auto"/>
          <w:sz w:val="24"/>
          <w:highlight w:val="none"/>
        </w:rPr>
        <w:t>___。</w:t>
      </w:r>
    </w:p>
    <w:p w14:paraId="047264FE">
      <w:pPr>
        <w:numPr>
          <w:ilvl w:val="0"/>
          <w:numId w:val="10"/>
        </w:numPr>
        <w:tabs>
          <w:tab w:val="left" w:pos="360"/>
        </w:tabs>
        <w:spacing w:line="360" w:lineRule="auto"/>
        <w:outlineLvl w:val="1"/>
        <w:rPr>
          <w:color w:val="auto"/>
          <w:sz w:val="24"/>
          <w:highlight w:val="none"/>
        </w:rPr>
      </w:pPr>
      <w:r>
        <w:rPr>
          <w:color w:val="auto"/>
          <w:sz w:val="24"/>
          <w:highlight w:val="none"/>
        </w:rPr>
        <w:t>磋商环节及提交最终报价后如出现以下情况的，供应商的</w:t>
      </w:r>
      <w:r>
        <w:rPr>
          <w:b/>
          <w:color w:val="auto"/>
          <w:sz w:val="24"/>
          <w:highlight w:val="none"/>
        </w:rPr>
        <w:t>响应文件无效</w:t>
      </w:r>
      <w:r>
        <w:rPr>
          <w:color w:val="auto"/>
          <w:sz w:val="24"/>
          <w:highlight w:val="none"/>
        </w:rPr>
        <w:t>：</w:t>
      </w:r>
    </w:p>
    <w:p w14:paraId="28E17F32">
      <w:pPr>
        <w:numPr>
          <w:ilvl w:val="1"/>
          <w:numId w:val="10"/>
        </w:numPr>
        <w:tabs>
          <w:tab w:val="left" w:pos="1080"/>
        </w:tabs>
        <w:spacing w:line="360" w:lineRule="auto"/>
        <w:ind w:left="1140" w:hanging="720"/>
        <w:rPr>
          <w:color w:val="auto"/>
          <w:sz w:val="24"/>
          <w:highlight w:val="none"/>
        </w:rPr>
      </w:pPr>
      <w:r>
        <w:rPr>
          <w:color w:val="auto"/>
          <w:sz w:val="24"/>
          <w:highlight w:val="none"/>
        </w:rPr>
        <w:t>供应商对实质性变动不予确认的；</w:t>
      </w:r>
    </w:p>
    <w:p w14:paraId="3917D38E">
      <w:pPr>
        <w:numPr>
          <w:ilvl w:val="1"/>
          <w:numId w:val="10"/>
        </w:numPr>
        <w:tabs>
          <w:tab w:val="left" w:pos="1080"/>
        </w:tabs>
        <w:spacing w:line="360" w:lineRule="auto"/>
        <w:ind w:left="1140" w:hanging="720"/>
        <w:rPr>
          <w:color w:val="auto"/>
          <w:sz w:val="24"/>
          <w:highlight w:val="none"/>
        </w:rPr>
      </w:pPr>
      <w:r>
        <w:rPr>
          <w:color w:val="auto"/>
          <w:sz w:val="24"/>
          <w:highlight w:val="none"/>
        </w:rPr>
        <w:t>不满足磋商文件</w:t>
      </w:r>
      <w:r>
        <w:rPr>
          <w:rFonts w:ascii="Segoe UI Symbol" w:hAnsi="Segoe UI Symbol" w:cs="Segoe UI Symbol"/>
          <w:color w:val="auto"/>
          <w:sz w:val="24"/>
          <w:highlight w:val="none"/>
        </w:rPr>
        <w:t>★</w:t>
      </w:r>
      <w:r>
        <w:rPr>
          <w:color w:val="auto"/>
          <w:sz w:val="24"/>
          <w:highlight w:val="none"/>
        </w:rPr>
        <w:t>号条款或磋商文件技术指标超出磋商文件</w:t>
      </w:r>
      <w:r>
        <w:rPr>
          <w:rFonts w:hint="eastAsia"/>
          <w:color w:val="auto"/>
          <w:sz w:val="24"/>
          <w:highlight w:val="none"/>
        </w:rPr>
        <w:t>《</w:t>
      </w:r>
      <w:r>
        <w:rPr>
          <w:color w:val="auto"/>
          <w:sz w:val="24"/>
          <w:highlight w:val="none"/>
        </w:rPr>
        <w:t>采购需求</w:t>
      </w:r>
      <w:r>
        <w:rPr>
          <w:rFonts w:hint="eastAsia"/>
          <w:color w:val="auto"/>
          <w:sz w:val="24"/>
          <w:highlight w:val="none"/>
        </w:rPr>
        <w:t>》</w:t>
      </w:r>
      <w:r>
        <w:rPr>
          <w:color w:val="auto"/>
          <w:sz w:val="24"/>
          <w:highlight w:val="none"/>
        </w:rPr>
        <w:t>中主要技术参数允许偏差的最大范围的（如有）；</w:t>
      </w:r>
    </w:p>
    <w:p w14:paraId="5FF56C6D">
      <w:pPr>
        <w:numPr>
          <w:ilvl w:val="1"/>
          <w:numId w:val="10"/>
        </w:numPr>
        <w:tabs>
          <w:tab w:val="left" w:pos="1080"/>
        </w:tabs>
        <w:spacing w:line="360" w:lineRule="auto"/>
        <w:ind w:left="1140" w:hanging="720"/>
        <w:rPr>
          <w:color w:val="auto"/>
          <w:sz w:val="24"/>
          <w:highlight w:val="none"/>
        </w:rPr>
      </w:pPr>
      <w:r>
        <w:rPr>
          <w:color w:val="auto"/>
          <w:sz w:val="24"/>
          <w:highlight w:val="none"/>
        </w:rPr>
        <w:t>未按照磋商小组规定的时间、逾期提交最终报价的；</w:t>
      </w:r>
    </w:p>
    <w:p w14:paraId="5B4E2858">
      <w:pPr>
        <w:numPr>
          <w:ilvl w:val="1"/>
          <w:numId w:val="10"/>
        </w:numPr>
        <w:tabs>
          <w:tab w:val="left" w:pos="1080"/>
        </w:tabs>
        <w:spacing w:line="360" w:lineRule="auto"/>
        <w:ind w:left="1140" w:hanging="720"/>
        <w:rPr>
          <w:color w:val="auto"/>
          <w:sz w:val="24"/>
          <w:highlight w:val="none"/>
        </w:rPr>
      </w:pPr>
      <w:r>
        <w:rPr>
          <w:color w:val="auto"/>
          <w:sz w:val="24"/>
          <w:highlight w:val="none"/>
        </w:rPr>
        <w:t>如供应商的最终报价超过竞争性磋商文件中规定的项目/采购包预算金额或者项目/采购包最高限价的；</w:t>
      </w:r>
    </w:p>
    <w:p w14:paraId="738A76F5">
      <w:pPr>
        <w:numPr>
          <w:ilvl w:val="1"/>
          <w:numId w:val="10"/>
        </w:numPr>
        <w:tabs>
          <w:tab w:val="left" w:pos="1080"/>
        </w:tabs>
        <w:spacing w:line="360" w:lineRule="auto"/>
        <w:ind w:left="1140" w:hanging="720"/>
        <w:rPr>
          <w:color w:val="auto"/>
          <w:sz w:val="24"/>
          <w:highlight w:val="none"/>
        </w:rPr>
      </w:pPr>
      <w:r>
        <w:rPr>
          <w:color w:val="auto"/>
          <w:sz w:val="24"/>
          <w:highlight w:val="none"/>
        </w:rPr>
        <w:t>响应文件中出现可选择性或可调整的报价的（竞争性磋商文件另有规定的除外）；</w:t>
      </w:r>
    </w:p>
    <w:p w14:paraId="43B18C97">
      <w:pPr>
        <w:numPr>
          <w:ilvl w:val="1"/>
          <w:numId w:val="10"/>
        </w:numPr>
        <w:tabs>
          <w:tab w:val="left" w:pos="1080"/>
        </w:tabs>
        <w:spacing w:line="360" w:lineRule="auto"/>
        <w:ind w:left="1140" w:hanging="720"/>
        <w:rPr>
          <w:color w:val="auto"/>
          <w:sz w:val="24"/>
          <w:highlight w:val="none"/>
        </w:rPr>
      </w:pPr>
      <w:r>
        <w:rPr>
          <w:color w:val="auto"/>
          <w:sz w:val="24"/>
          <w:highlight w:val="none"/>
        </w:rPr>
        <w:t>最终报价出现前后不一致，供应商对修正后的报价不予确认的；</w:t>
      </w:r>
    </w:p>
    <w:p w14:paraId="2808027E">
      <w:pPr>
        <w:numPr>
          <w:ilvl w:val="1"/>
          <w:numId w:val="10"/>
        </w:numPr>
        <w:tabs>
          <w:tab w:val="left" w:pos="1080"/>
        </w:tabs>
        <w:spacing w:line="360" w:lineRule="auto"/>
        <w:ind w:left="1140" w:hanging="720"/>
        <w:rPr>
          <w:color w:val="auto"/>
          <w:sz w:val="24"/>
          <w:highlight w:val="none"/>
        </w:rPr>
      </w:pPr>
      <w:r>
        <w:rPr>
          <w:color w:val="auto"/>
          <w:sz w:val="24"/>
          <w:highlight w:val="none"/>
        </w:rPr>
        <w:t>其他：___</w:t>
      </w:r>
      <w:r>
        <w:rPr>
          <w:rFonts w:hint="eastAsia"/>
          <w:color w:val="auto"/>
          <w:sz w:val="24"/>
          <w:highlight w:val="none"/>
        </w:rPr>
        <w:t>/</w:t>
      </w:r>
      <w:r>
        <w:rPr>
          <w:color w:val="auto"/>
          <w:sz w:val="24"/>
          <w:highlight w:val="none"/>
        </w:rPr>
        <w:t>___。</w:t>
      </w:r>
      <w:bookmarkEnd w:id="505"/>
      <w:bookmarkEnd w:id="506"/>
    </w:p>
    <w:p w14:paraId="0B83468B">
      <w:pPr>
        <w:numPr>
          <w:ilvl w:val="0"/>
          <w:numId w:val="10"/>
        </w:numPr>
        <w:tabs>
          <w:tab w:val="left" w:pos="360"/>
        </w:tabs>
        <w:spacing w:line="360" w:lineRule="auto"/>
        <w:outlineLvl w:val="1"/>
        <w:rPr>
          <w:color w:val="auto"/>
          <w:sz w:val="24"/>
          <w:highlight w:val="none"/>
        </w:rPr>
      </w:pPr>
      <w:r>
        <w:rPr>
          <w:color w:val="auto"/>
          <w:sz w:val="24"/>
          <w:highlight w:val="none"/>
        </w:rPr>
        <w:t>评审方法和评审标准</w:t>
      </w:r>
    </w:p>
    <w:p w14:paraId="2912787F">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9950954">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竞争性磋商文件中没有规定的评审标准不得作为评审依据。</w:t>
      </w:r>
    </w:p>
    <w:p w14:paraId="6385EB5D">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非政府强制采购的节能产品或环境标志产品，依据品目清单和认证证书实施政府优先采购。优先采购的具体规定（如涉及）____</w:t>
      </w:r>
      <w:r>
        <w:rPr>
          <w:rFonts w:hint="eastAsia"/>
          <w:color w:val="auto"/>
          <w:sz w:val="24"/>
          <w:highlight w:val="none"/>
        </w:rPr>
        <w:t>/</w:t>
      </w:r>
      <w:r>
        <w:rPr>
          <w:color w:val="auto"/>
          <w:sz w:val="24"/>
          <w:highlight w:val="none"/>
        </w:rPr>
        <w:t>__。</w:t>
      </w:r>
    </w:p>
    <w:p w14:paraId="4CC23474">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关于无线局域网认证产品政府采购清单中的产品，优先采购的具体规定（如涉及）____</w:t>
      </w:r>
      <w:r>
        <w:rPr>
          <w:rFonts w:hint="eastAsia"/>
          <w:color w:val="auto"/>
          <w:sz w:val="24"/>
          <w:highlight w:val="none"/>
        </w:rPr>
        <w:t>/</w:t>
      </w:r>
      <w:r>
        <w:rPr>
          <w:color w:val="auto"/>
          <w:sz w:val="24"/>
          <w:highlight w:val="none"/>
        </w:rPr>
        <w:t>__。</w:t>
      </w:r>
    </w:p>
    <w:p w14:paraId="1028E4F2">
      <w:pPr>
        <w:numPr>
          <w:ilvl w:val="0"/>
          <w:numId w:val="10"/>
        </w:numPr>
        <w:tabs>
          <w:tab w:val="left" w:pos="360"/>
        </w:tabs>
        <w:spacing w:line="360" w:lineRule="auto"/>
        <w:outlineLvl w:val="1"/>
        <w:rPr>
          <w:color w:val="auto"/>
          <w:sz w:val="24"/>
          <w:highlight w:val="none"/>
        </w:rPr>
      </w:pPr>
      <w:r>
        <w:rPr>
          <w:color w:val="auto"/>
          <w:sz w:val="24"/>
          <w:highlight w:val="none"/>
        </w:rPr>
        <w:t>确定</w:t>
      </w:r>
      <w:bookmarkStart w:id="522" w:name="_Toc305158888"/>
      <w:bookmarkStart w:id="523" w:name="_Toc226309790"/>
      <w:bookmarkStart w:id="524" w:name="_Toc164229241"/>
      <w:bookmarkStart w:id="525" w:name="_Toc150774646"/>
      <w:bookmarkStart w:id="526" w:name="_Toc149720839"/>
      <w:bookmarkStart w:id="527" w:name="_Toc164608815"/>
      <w:bookmarkStart w:id="528" w:name="_Toc520356170"/>
      <w:bookmarkStart w:id="529" w:name="_Toc195842911"/>
      <w:bookmarkStart w:id="530" w:name="_Toc305158814"/>
      <w:bookmarkStart w:id="531" w:name="_Toc142311048"/>
      <w:bookmarkStart w:id="532" w:name="_Toc265228384"/>
      <w:bookmarkStart w:id="533" w:name="_Toc151193716"/>
      <w:bookmarkStart w:id="534" w:name="_Toc226965736"/>
      <w:bookmarkStart w:id="535" w:name="_Toc127161460"/>
      <w:bookmarkStart w:id="536" w:name="_Toc151193860"/>
      <w:bookmarkStart w:id="537" w:name="_Toc151193934"/>
      <w:bookmarkStart w:id="538" w:name="_Toc151193644"/>
      <w:bookmarkStart w:id="539" w:name="_Toc164229387"/>
      <w:bookmarkStart w:id="540" w:name="_Toc264969236"/>
      <w:bookmarkStart w:id="541" w:name="_Toc150774751"/>
      <w:bookmarkStart w:id="542" w:name="_Toc127151546"/>
      <w:bookmarkStart w:id="543" w:name="_Toc164608660"/>
      <w:bookmarkStart w:id="544" w:name="_Ref467307010"/>
      <w:bookmarkStart w:id="545" w:name="_Toc226337242"/>
      <w:bookmarkStart w:id="546" w:name="_Toc226965819"/>
      <w:bookmarkStart w:id="547" w:name="_Toc151193788"/>
      <w:bookmarkStart w:id="548" w:name="_Toc151190173"/>
      <w:bookmarkStart w:id="549" w:name="_Toc150480784"/>
      <w:bookmarkStart w:id="550" w:name="_Toc164351640"/>
      <w:bookmarkStart w:id="551" w:name="_Toc150509297"/>
      <w:bookmarkStart w:id="552" w:name="_Toc127151747"/>
      <w:r>
        <w:rPr>
          <w:color w:val="auto"/>
          <w:sz w:val="24"/>
          <w:highlight w:val="none"/>
        </w:rPr>
        <w:t>成交候选人名单</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2418B7F1">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磋商小组将根据各供应商的评审排序以及磋商文件中关于成交候选人的相关规定，确定本项目成交候选人名单，按照评审得分由高到低顺序推荐成交候选人的排名顺序。评审得分相同的，按照最终报价</w:t>
      </w:r>
      <w:r>
        <w:rPr>
          <w:rFonts w:hint="eastAsia"/>
          <w:color w:val="auto"/>
          <w:sz w:val="24"/>
          <w:highlight w:val="none"/>
          <w:lang w:val="en-US" w:eastAsia="zh-CN"/>
        </w:rPr>
        <w:t>优惠率</w:t>
      </w:r>
      <w:r>
        <w:rPr>
          <w:color w:val="auto"/>
          <w:sz w:val="24"/>
          <w:highlight w:val="none"/>
        </w:rPr>
        <w:t>由高</w:t>
      </w:r>
      <w:r>
        <w:rPr>
          <w:rFonts w:hint="eastAsia"/>
          <w:color w:val="auto"/>
          <w:sz w:val="24"/>
          <w:highlight w:val="none"/>
          <w:lang w:val="en-US" w:eastAsia="zh-CN"/>
        </w:rPr>
        <w:t>到低</w:t>
      </w:r>
      <w:r>
        <w:rPr>
          <w:color w:val="auto"/>
          <w:sz w:val="24"/>
          <w:highlight w:val="none"/>
        </w:rPr>
        <w:t>的顺序推荐。评审得分且最终报价相同的，按照</w:t>
      </w:r>
      <w:r>
        <w:rPr>
          <w:rFonts w:hint="eastAsia"/>
          <w:color w:val="auto"/>
          <w:sz w:val="24"/>
          <w:highlight w:val="none"/>
        </w:rPr>
        <w:t>客观分</w:t>
      </w:r>
      <w:r>
        <w:rPr>
          <w:color w:val="auto"/>
          <w:sz w:val="24"/>
          <w:highlight w:val="none"/>
        </w:rPr>
        <w:t xml:space="preserve">指标优劣顺序推荐。响应文件满足竞争性磋商文件全部实质性要求，且按照评审因素的量化指标评审得分最高的供应商为排名第一的成交候选人。评分分值计算保留小数点后两位，第三位四舍五入。 </w:t>
      </w:r>
    </w:p>
    <w:p w14:paraId="13BEA16A">
      <w:pPr>
        <w:numPr>
          <w:ilvl w:val="1"/>
          <w:numId w:val="10"/>
        </w:numPr>
        <w:tabs>
          <w:tab w:val="left" w:pos="1080"/>
          <w:tab w:val="left" w:pos="1872"/>
        </w:tabs>
        <w:spacing w:line="360" w:lineRule="auto"/>
        <w:ind w:left="1140" w:hanging="720"/>
        <w:rPr>
          <w:color w:val="auto"/>
          <w:sz w:val="24"/>
          <w:highlight w:val="none"/>
        </w:rPr>
      </w:pPr>
      <w:r>
        <w:rPr>
          <w:color w:val="auto"/>
          <w:sz w:val="24"/>
          <w:szCs w:val="20"/>
          <w:highlight w:val="none"/>
        </w:rPr>
        <w:t>磋商小组根据上述供应商排序，依次推荐排序前</w:t>
      </w:r>
      <w:r>
        <w:rPr>
          <w:rFonts w:hint="eastAsia"/>
          <w:color w:val="auto"/>
          <w:sz w:val="24"/>
          <w:highlight w:val="none"/>
        </w:rPr>
        <w:t>3</w:t>
      </w:r>
      <w:r>
        <w:rPr>
          <w:color w:val="auto"/>
          <w:sz w:val="24"/>
          <w:highlight w:val="none"/>
        </w:rPr>
        <w:t>名</w:t>
      </w:r>
      <w:r>
        <w:rPr>
          <w:color w:val="auto"/>
          <w:sz w:val="24"/>
          <w:szCs w:val="20"/>
          <w:highlight w:val="none"/>
        </w:rPr>
        <w:t>的供应商为</w:t>
      </w:r>
      <w:r>
        <w:rPr>
          <w:color w:val="auto"/>
          <w:sz w:val="24"/>
          <w:szCs w:val="21"/>
          <w:highlight w:val="none"/>
        </w:rPr>
        <w:t>成交候选供应商</w:t>
      </w:r>
      <w:r>
        <w:rPr>
          <w:color w:val="auto"/>
          <w:sz w:val="24"/>
          <w:szCs w:val="20"/>
          <w:highlight w:val="none"/>
        </w:rPr>
        <w:t>（若在磋商文件允许的情形下提交最终报价的供应商为二家，则依次推荐二名供应商为成交候选供应商），并编写评审报告。</w:t>
      </w:r>
    </w:p>
    <w:p w14:paraId="7FA719BE">
      <w:pPr>
        <w:numPr>
          <w:ilvl w:val="1"/>
          <w:numId w:val="10"/>
        </w:numPr>
        <w:tabs>
          <w:tab w:val="left" w:pos="1080"/>
          <w:tab w:val="left" w:pos="1872"/>
        </w:tabs>
        <w:spacing w:line="360" w:lineRule="auto"/>
        <w:ind w:left="1140" w:hanging="720"/>
        <w:rPr>
          <w:color w:val="auto"/>
          <w:sz w:val="24"/>
          <w:highlight w:val="none"/>
        </w:rPr>
      </w:pPr>
      <w:r>
        <w:rPr>
          <w:color w:val="auto"/>
          <w:sz w:val="24"/>
          <w:highlight w:val="none"/>
        </w:rPr>
        <w:t>磋商小组要对评分汇总情况进行复核，特别是对排名第一的、报价最低的、响应文件被认定为无效的情形进行重点复核。</w:t>
      </w:r>
    </w:p>
    <w:p w14:paraId="6E05C68A">
      <w:pPr>
        <w:numPr>
          <w:ilvl w:val="0"/>
          <w:numId w:val="10"/>
        </w:numPr>
        <w:tabs>
          <w:tab w:val="left" w:pos="360"/>
        </w:tabs>
        <w:spacing w:line="360" w:lineRule="auto"/>
        <w:jc w:val="left"/>
        <w:outlineLvl w:val="1"/>
        <w:rPr>
          <w:color w:val="auto"/>
          <w:sz w:val="24"/>
          <w:highlight w:val="none"/>
        </w:rPr>
      </w:pPr>
      <w:r>
        <w:rPr>
          <w:color w:val="auto"/>
          <w:sz w:val="24"/>
          <w:highlight w:val="none"/>
        </w:rPr>
        <w:t>报告违法行为</w:t>
      </w:r>
    </w:p>
    <w:p w14:paraId="56314F9B">
      <w:pPr>
        <w:keepNext/>
        <w:keepLines/>
        <w:spacing w:line="360" w:lineRule="auto"/>
        <w:ind w:left="1197"/>
        <w:jc w:val="left"/>
        <w:outlineLvl w:val="1"/>
        <w:rPr>
          <w:b/>
          <w:color w:val="auto"/>
          <w:sz w:val="32"/>
          <w:szCs w:val="32"/>
          <w:highlight w:val="none"/>
        </w:rPr>
      </w:pPr>
      <w:r>
        <w:rPr>
          <w:color w:val="auto"/>
          <w:sz w:val="24"/>
          <w:highlight w:val="none"/>
        </w:rPr>
        <w:t>磋商小组在评审过程中发现供应商有行贿、提供虚假材料或者串通等违法行为时，有向采购人、采购代理机构或者有关部门报告的职责。</w:t>
      </w:r>
      <w:r>
        <w:rPr>
          <w:b/>
          <w:color w:val="auto"/>
          <w:sz w:val="24"/>
          <w:highlight w:val="none"/>
        </w:rPr>
        <w:br w:type="page" w:clear="all"/>
      </w:r>
      <w:r>
        <w:rPr>
          <w:rFonts w:hint="eastAsia"/>
          <w:b/>
          <w:color w:val="auto"/>
          <w:sz w:val="24"/>
          <w:highlight w:val="none"/>
          <w:lang w:val="en-US" w:eastAsia="zh-CN"/>
        </w:rPr>
        <w:t xml:space="preserve">           </w:t>
      </w:r>
      <w:r>
        <w:rPr>
          <w:b/>
          <w:color w:val="auto"/>
          <w:sz w:val="32"/>
          <w:szCs w:val="32"/>
          <w:highlight w:val="none"/>
        </w:rPr>
        <w:t>二、评</w:t>
      </w:r>
      <w:r>
        <w:rPr>
          <w:rFonts w:hint="eastAsia"/>
          <w:b/>
          <w:color w:val="auto"/>
          <w:sz w:val="32"/>
          <w:szCs w:val="32"/>
          <w:highlight w:val="none"/>
        </w:rPr>
        <w:t>审</w:t>
      </w:r>
      <w:r>
        <w:rPr>
          <w:b/>
          <w:color w:val="auto"/>
          <w:sz w:val="32"/>
          <w:szCs w:val="32"/>
          <w:highlight w:val="none"/>
        </w:rPr>
        <w:t>标准</w:t>
      </w:r>
    </w:p>
    <w:tbl>
      <w:tblPr>
        <w:tblStyle w:val="38"/>
        <w:tblW w:w="5327" w:type="pc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039"/>
        <w:gridCol w:w="633"/>
        <w:gridCol w:w="5072"/>
        <w:gridCol w:w="3097"/>
      </w:tblGrid>
      <w:tr w14:paraId="2A1E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59" w:type="dxa"/>
            <w:noWrap w:val="0"/>
            <w:vAlign w:val="center"/>
          </w:tcPr>
          <w:p w14:paraId="18C691A5">
            <w:pPr>
              <w:shd w:val="clear" w:color="auto" w:fill="auto"/>
              <w:ind w:firstLine="28"/>
              <w:jc w:val="center"/>
              <w:rPr>
                <w:rFonts w:hint="eastAsia" w:ascii="宋体" w:hAnsi="宋体" w:eastAsia="宋体" w:cs="宋体"/>
                <w:b/>
                <w:color w:val="auto"/>
                <w:sz w:val="24"/>
                <w:highlight w:val="none"/>
              </w:rPr>
            </w:pPr>
            <w:bookmarkStart w:id="553" w:name="_Toc6244"/>
            <w:r>
              <w:rPr>
                <w:rFonts w:hint="eastAsia" w:ascii="宋体" w:hAnsi="宋体" w:eastAsia="宋体" w:cs="宋体"/>
                <w:b/>
                <w:color w:val="auto"/>
                <w:sz w:val="24"/>
                <w:highlight w:val="none"/>
              </w:rPr>
              <w:t>序号</w:t>
            </w:r>
          </w:p>
        </w:tc>
        <w:tc>
          <w:tcPr>
            <w:tcW w:w="1039" w:type="dxa"/>
            <w:noWrap w:val="0"/>
            <w:vAlign w:val="center"/>
          </w:tcPr>
          <w:p w14:paraId="4651ECED">
            <w:pPr>
              <w:shd w:val="clear" w:color="auto" w:fill="auto"/>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w:t>
            </w:r>
          </w:p>
          <w:p w14:paraId="6F3A3C3D">
            <w:pPr>
              <w:shd w:val="clear" w:color="auto" w:fill="auto"/>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因素</w:t>
            </w:r>
          </w:p>
        </w:tc>
        <w:tc>
          <w:tcPr>
            <w:tcW w:w="633" w:type="dxa"/>
            <w:noWrap w:val="0"/>
            <w:vAlign w:val="center"/>
          </w:tcPr>
          <w:p w14:paraId="0FBFF8CE">
            <w:pPr>
              <w:shd w:val="clear" w:color="auto" w:fill="auto"/>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分值</w:t>
            </w:r>
          </w:p>
        </w:tc>
        <w:tc>
          <w:tcPr>
            <w:tcW w:w="5072" w:type="dxa"/>
            <w:noWrap w:val="0"/>
            <w:vAlign w:val="center"/>
          </w:tcPr>
          <w:p w14:paraId="35F12510">
            <w:pPr>
              <w:shd w:val="clear" w:color="auto" w:fill="auto"/>
              <w:ind w:firstLine="2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3097" w:type="dxa"/>
            <w:noWrap w:val="0"/>
            <w:vAlign w:val="center"/>
          </w:tcPr>
          <w:p w14:paraId="55918C73">
            <w:pPr>
              <w:pStyle w:val="492"/>
              <w:shd w:val="clear" w:color="auto" w:fill="auto"/>
              <w:spacing w:before="0" w:after="0" w:line="24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w:t>
            </w:r>
          </w:p>
        </w:tc>
      </w:tr>
      <w:tr w14:paraId="1A1E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59" w:type="dxa"/>
            <w:noWrap w:val="0"/>
            <w:vAlign w:val="center"/>
          </w:tcPr>
          <w:p w14:paraId="3BB0C0D6">
            <w:pPr>
              <w:shd w:val="clear" w:color="auto" w:fill="auto"/>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9" w:type="dxa"/>
            <w:noWrap w:val="0"/>
            <w:vAlign w:val="center"/>
          </w:tcPr>
          <w:p w14:paraId="6E4A5C6E">
            <w:pPr>
              <w:shd w:val="clear" w:color="auto" w:fill="auto"/>
              <w:ind w:firstLine="2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w:t>
            </w:r>
          </w:p>
        </w:tc>
        <w:tc>
          <w:tcPr>
            <w:tcW w:w="633" w:type="dxa"/>
            <w:noWrap w:val="0"/>
            <w:vAlign w:val="center"/>
          </w:tcPr>
          <w:p w14:paraId="4761B7A6">
            <w:pPr>
              <w:shd w:val="clear" w:color="auto" w:fill="auto"/>
              <w:ind w:firstLine="28"/>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5072" w:type="dxa"/>
            <w:noWrap w:val="0"/>
            <w:vAlign w:val="center"/>
          </w:tcPr>
          <w:p w14:paraId="2E40B778">
            <w:pPr>
              <w:keepNext w:val="0"/>
              <w:keepLines w:val="0"/>
              <w:pageBreakBefore w:val="0"/>
              <w:widowControl w:val="0"/>
              <w:spacing w:line="400" w:lineRule="exact"/>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满足磋商文件要求且最终报价最低的报价为评标基准价，其价格分为满分。其他供应商的价格分统一按照下列公式计算：</w:t>
            </w:r>
          </w:p>
          <w:p w14:paraId="17E3DE9F">
            <w:pPr>
              <w:shd w:val="clear" w:color="auto" w:fil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报价得分＝（（1-评标基准优惠率）/(1-投标优惠率)）×价格分分值。</w:t>
            </w:r>
          </w:p>
        </w:tc>
        <w:tc>
          <w:tcPr>
            <w:tcW w:w="3097" w:type="dxa"/>
            <w:noWrap w:val="0"/>
            <w:vAlign w:val="center"/>
          </w:tcPr>
          <w:p w14:paraId="799E6CEC">
            <w:pPr>
              <w:shd w:val="clear" w:color="auto" w:fill="auto"/>
              <w:ind w:left="-38"/>
              <w:rPr>
                <w:rFonts w:hint="eastAsia" w:ascii="宋体" w:hAnsi="宋体" w:eastAsia="宋体" w:cs="宋体"/>
                <w:color w:val="auto"/>
                <w:sz w:val="24"/>
                <w:highlight w:val="none"/>
              </w:rPr>
            </w:pPr>
            <w:r>
              <w:rPr>
                <w:rFonts w:hint="eastAsia" w:ascii="宋体" w:hAnsi="宋体" w:eastAsia="宋体" w:cs="宋体"/>
                <w:color w:val="auto"/>
                <w:sz w:val="24"/>
                <w:highlight w:val="none"/>
              </w:rPr>
              <w:t>此处最终报价指经过报价修正，及因落实政府采购政策进行价格调整后的最终报价，详见第</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章《评标方法和评标标准》。</w:t>
            </w:r>
          </w:p>
        </w:tc>
      </w:tr>
      <w:tr w14:paraId="18BC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6BB18089">
            <w:pPr>
              <w:shd w:val="clear" w:color="auto" w:fill="auto"/>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p>
        </w:tc>
        <w:tc>
          <w:tcPr>
            <w:tcW w:w="1039" w:type="dxa"/>
            <w:noWrap w:val="0"/>
            <w:vAlign w:val="center"/>
          </w:tcPr>
          <w:p w14:paraId="1290D215">
            <w:pPr>
              <w:shd w:val="clear" w:color="auto" w:fill="auto"/>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主观分</w:t>
            </w:r>
          </w:p>
        </w:tc>
        <w:tc>
          <w:tcPr>
            <w:tcW w:w="633" w:type="dxa"/>
            <w:noWrap w:val="0"/>
            <w:vAlign w:val="center"/>
          </w:tcPr>
          <w:p w14:paraId="7AA11BBD">
            <w:pPr>
              <w:shd w:val="clear" w:color="auto" w:fill="auto"/>
              <w:ind w:firstLine="28"/>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66</w:t>
            </w:r>
          </w:p>
        </w:tc>
        <w:tc>
          <w:tcPr>
            <w:tcW w:w="5072" w:type="dxa"/>
            <w:noWrap w:val="0"/>
            <w:vAlign w:val="center"/>
          </w:tcPr>
          <w:p w14:paraId="607562E5">
            <w:pPr>
              <w:shd w:val="clear" w:color="auto" w:fill="auto"/>
              <w:rPr>
                <w:rFonts w:hint="eastAsia" w:ascii="宋体" w:hAnsi="宋体" w:eastAsia="宋体" w:cs="宋体"/>
                <w:b/>
                <w:bCs/>
                <w:color w:val="auto"/>
                <w:sz w:val="24"/>
                <w:highlight w:val="none"/>
              </w:rPr>
            </w:pPr>
          </w:p>
        </w:tc>
        <w:tc>
          <w:tcPr>
            <w:tcW w:w="3097" w:type="dxa"/>
            <w:noWrap w:val="0"/>
            <w:vAlign w:val="center"/>
          </w:tcPr>
          <w:p w14:paraId="36064635">
            <w:pPr>
              <w:shd w:val="clear" w:color="auto" w:fill="auto"/>
              <w:ind w:left="-38"/>
              <w:rPr>
                <w:rFonts w:hint="eastAsia" w:ascii="宋体" w:hAnsi="宋体" w:eastAsia="宋体" w:cs="宋体"/>
                <w:color w:val="auto"/>
                <w:sz w:val="24"/>
                <w:highlight w:val="none"/>
              </w:rPr>
            </w:pPr>
          </w:p>
        </w:tc>
      </w:tr>
      <w:tr w14:paraId="19FC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659" w:type="dxa"/>
            <w:noWrap w:val="0"/>
            <w:vAlign w:val="center"/>
          </w:tcPr>
          <w:p w14:paraId="3FF992DA">
            <w:pPr>
              <w:widowControl w:val="0"/>
              <w:shd w:val="clear" w:color="auto" w:fill="auto"/>
              <w:spacing w:line="40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1</w:t>
            </w:r>
          </w:p>
        </w:tc>
        <w:tc>
          <w:tcPr>
            <w:tcW w:w="1039" w:type="dxa"/>
            <w:noWrap w:val="0"/>
            <w:vAlign w:val="center"/>
          </w:tcPr>
          <w:p w14:paraId="6719C4DE">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总体</w:t>
            </w:r>
          </w:p>
          <w:p w14:paraId="1E9020A8">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思路</w:t>
            </w:r>
          </w:p>
        </w:tc>
        <w:tc>
          <w:tcPr>
            <w:tcW w:w="633" w:type="dxa"/>
            <w:noWrap w:val="0"/>
            <w:vAlign w:val="center"/>
          </w:tcPr>
          <w:p w14:paraId="06F52E9C">
            <w:pPr>
              <w:spacing w:line="400" w:lineRule="exact"/>
              <w:jc w:val="center"/>
              <w:rPr>
                <w:rFonts w:hint="default" w:ascii="宋体" w:hAnsi="宋体" w:eastAsia="宋体" w:cs="宋体"/>
                <w:bCs w:val="0"/>
                <w:color w:val="auto"/>
                <w:sz w:val="24"/>
                <w:highlight w:val="none"/>
                <w:lang w:val="en-US" w:eastAsia="zh-CN"/>
              </w:rPr>
            </w:pPr>
            <w:r>
              <w:rPr>
                <w:rFonts w:hint="eastAsia" w:ascii="宋体" w:hAnsi="宋体" w:cs="宋体"/>
                <w:color w:val="auto"/>
                <w:sz w:val="24"/>
                <w:highlight w:val="none"/>
                <w:lang w:val="en-US" w:eastAsia="zh-CN"/>
              </w:rPr>
              <w:t>12</w:t>
            </w:r>
          </w:p>
        </w:tc>
        <w:tc>
          <w:tcPr>
            <w:tcW w:w="5072" w:type="dxa"/>
            <w:noWrap w:val="0"/>
            <w:vAlign w:val="center"/>
          </w:tcPr>
          <w:p w14:paraId="682FC4C9">
            <w:pPr>
              <w:widowControl/>
              <w:spacing w:line="360" w:lineRule="exact"/>
              <w:ind w:firstLine="0" w:firstLineChars="0"/>
              <w:rPr>
                <w:rFonts w:hint="eastAsia" w:ascii="宋体" w:hAnsi="宋体" w:cs="宋体"/>
                <w:color w:val="auto"/>
                <w:sz w:val="24"/>
                <w:highlight w:val="none"/>
              </w:rPr>
            </w:pPr>
            <w:r>
              <w:rPr>
                <w:rFonts w:hint="eastAsia" w:ascii="宋体" w:hAnsi="宋体" w:cs="宋体"/>
                <w:color w:val="auto"/>
                <w:sz w:val="24"/>
                <w:szCs w:val="24"/>
                <w:highlight w:val="none"/>
              </w:rPr>
              <w:t>供应商应在充分理解采购文件需求的基础上，结合采购文件的内容，提出科学、合理的思路架</w:t>
            </w:r>
            <w:r>
              <w:rPr>
                <w:rFonts w:hint="eastAsia" w:ascii="宋体" w:hAnsi="宋体" w:cs="宋体"/>
                <w:color w:val="auto"/>
                <w:sz w:val="24"/>
                <w:szCs w:val="24"/>
                <w:highlight w:val="none"/>
                <w:lang w:val="en-US" w:eastAsia="zh-CN"/>
              </w:rPr>
              <w:t>构</w:t>
            </w:r>
            <w:r>
              <w:rPr>
                <w:rFonts w:hint="eastAsia" w:ascii="宋体" w:hAnsi="宋体" w:cs="宋体"/>
                <w:color w:val="auto"/>
                <w:sz w:val="24"/>
                <w:szCs w:val="24"/>
                <w:highlight w:val="none"/>
              </w:rPr>
              <w:t>，科学规划实施方案。综合评估对项目的理解，从实用性及可发展和可实现性方面评分，</w:t>
            </w: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00A9ADFC">
            <w:pPr>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内容进行评分，本项</w:t>
            </w:r>
            <w:r>
              <w:rPr>
                <w:rFonts w:hint="eastAsia" w:ascii="宋体" w:hAnsi="宋体" w:eastAsia="宋体" w:cs="宋体"/>
                <w:bCs/>
                <w:color w:val="auto"/>
                <w:sz w:val="24"/>
                <w:highlight w:val="none"/>
              </w:rPr>
              <w:t>最高加</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w:t>
            </w:r>
            <w:r>
              <w:rPr>
                <w:rFonts w:hint="eastAsia" w:ascii="宋体" w:hAnsi="宋体" w:cs="宋体"/>
                <w:color w:val="auto"/>
                <w:sz w:val="24"/>
                <w:szCs w:val="24"/>
                <w:highlight w:val="none"/>
              </w:rPr>
              <w:t>设计思路</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highlight w:val="none"/>
              </w:rPr>
              <w:t>方案完整、可行，能完全满足项目实施要求，得</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分；</w:t>
            </w:r>
          </w:p>
          <w:p w14:paraId="37592848">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cs="宋体"/>
                <w:color w:val="auto"/>
                <w:sz w:val="24"/>
                <w:szCs w:val="24"/>
                <w:highlight w:val="none"/>
              </w:rPr>
              <w:t>设计思路</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highlight w:val="none"/>
              </w:rPr>
              <w:t>方案较具体、可行，能基本满足项目实施要求，得</w:t>
            </w:r>
            <w:r>
              <w:rPr>
                <w:rFonts w:hint="eastAsia" w:ascii="宋体" w:hAnsi="宋体" w:cs="宋体"/>
                <w:bCs/>
                <w:color w:val="auto"/>
                <w:sz w:val="24"/>
                <w:highlight w:val="none"/>
                <w:lang w:val="en-US" w:eastAsia="zh-CN"/>
              </w:rPr>
              <w:t>7</w:t>
            </w:r>
            <w:r>
              <w:rPr>
                <w:rFonts w:hint="eastAsia" w:ascii="宋体" w:hAnsi="宋体" w:eastAsia="宋体" w:cs="宋体"/>
                <w:bCs/>
                <w:color w:val="auto"/>
                <w:sz w:val="24"/>
                <w:highlight w:val="none"/>
              </w:rPr>
              <w:t>分；</w:t>
            </w:r>
          </w:p>
          <w:p w14:paraId="58B391B3">
            <w:pPr>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cs="宋体"/>
                <w:color w:val="auto"/>
                <w:sz w:val="24"/>
                <w:szCs w:val="24"/>
                <w:highlight w:val="none"/>
              </w:rPr>
              <w:t>设计思路</w:t>
            </w:r>
            <w:r>
              <w:rPr>
                <w:rFonts w:hint="eastAsia" w:ascii="宋体" w:hAnsi="宋体" w:cs="宋体"/>
                <w:color w:val="auto"/>
                <w:sz w:val="24"/>
                <w:szCs w:val="24"/>
                <w:highlight w:val="none"/>
                <w:lang w:eastAsia="zh-CN"/>
              </w:rPr>
              <w:t>、</w:t>
            </w:r>
            <w:r>
              <w:rPr>
                <w:rFonts w:hint="eastAsia" w:ascii="宋体" w:hAnsi="宋体" w:eastAsia="宋体" w:cs="宋体"/>
                <w:bCs/>
                <w:color w:val="auto"/>
                <w:sz w:val="24"/>
                <w:highlight w:val="none"/>
              </w:rPr>
              <w:t>方案内容简单，对项目实施要求响应一般，得</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分；</w:t>
            </w:r>
          </w:p>
          <w:p w14:paraId="563D2AAC">
            <w:pPr>
              <w:widowControl/>
              <w:spacing w:line="360" w:lineRule="exact"/>
              <w:ind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sz w:val="24"/>
                <w:highlight w:val="none"/>
              </w:rPr>
              <w:t>注：以上累计得分，最高得</w:t>
            </w:r>
            <w:r>
              <w:rPr>
                <w:rFonts w:hint="eastAsia" w:ascii="宋体" w:hAnsi="宋体" w:cs="宋体"/>
                <w:bCs/>
                <w:color w:val="auto"/>
                <w:sz w:val="24"/>
                <w:highlight w:val="none"/>
                <w:lang w:val="en-US" w:eastAsia="zh-CN"/>
              </w:rPr>
              <w:t>12</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未提供内容的不</w:t>
            </w:r>
            <w:r>
              <w:rPr>
                <w:rFonts w:hint="eastAsia" w:ascii="宋体" w:hAnsi="宋体" w:cs="宋体"/>
                <w:color w:val="auto"/>
                <w:sz w:val="24"/>
                <w:szCs w:val="24"/>
                <w:highlight w:val="none"/>
              </w:rPr>
              <w:t>得分。</w:t>
            </w:r>
          </w:p>
        </w:tc>
        <w:tc>
          <w:tcPr>
            <w:tcW w:w="3097" w:type="dxa"/>
            <w:noWrap w:val="0"/>
            <w:vAlign w:val="center"/>
          </w:tcPr>
          <w:p w14:paraId="34826F60">
            <w:pPr>
              <w:spacing w:line="400" w:lineRule="exact"/>
              <w:ind w:left="0" w:leftChars="0" w:firstLine="0" w:firstLineChars="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提供书面方案</w:t>
            </w:r>
          </w:p>
        </w:tc>
      </w:tr>
      <w:tr w14:paraId="104E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59" w:type="dxa"/>
            <w:noWrap w:val="0"/>
            <w:vAlign w:val="center"/>
          </w:tcPr>
          <w:p w14:paraId="3CF9615A">
            <w:pPr>
              <w:widowControl w:val="0"/>
              <w:shd w:val="clear" w:color="auto" w:fill="auto"/>
              <w:spacing w:line="40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2</w:t>
            </w:r>
          </w:p>
        </w:tc>
        <w:tc>
          <w:tcPr>
            <w:tcW w:w="1039" w:type="dxa"/>
            <w:noWrap w:val="0"/>
            <w:vAlign w:val="center"/>
          </w:tcPr>
          <w:p w14:paraId="03FE7D5A">
            <w:pPr>
              <w:widowControl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szCs w:val="24"/>
              </w:rPr>
              <w:t>针对本项目现状及需求分析</w:t>
            </w:r>
          </w:p>
        </w:tc>
        <w:tc>
          <w:tcPr>
            <w:tcW w:w="633" w:type="dxa"/>
            <w:noWrap w:val="0"/>
            <w:vAlign w:val="center"/>
          </w:tcPr>
          <w:p w14:paraId="710F3153">
            <w:pPr>
              <w:widowControl w:val="0"/>
              <w:spacing w:line="400" w:lineRule="exact"/>
              <w:jc w:val="center"/>
              <w:rPr>
                <w:rFonts w:hint="eastAsia" w:ascii="宋体" w:hAnsi="宋体" w:eastAsia="宋体" w:cs="宋体"/>
                <w:bCs w:val="0"/>
                <w:color w:val="auto"/>
                <w:sz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p>
        </w:tc>
        <w:tc>
          <w:tcPr>
            <w:tcW w:w="5072" w:type="dxa"/>
            <w:noWrap w:val="0"/>
            <w:vAlign w:val="center"/>
          </w:tcPr>
          <w:p w14:paraId="706CECDA">
            <w:pPr>
              <w:widowControl/>
              <w:spacing w:line="360" w:lineRule="exact"/>
              <w:ind w:left="0" w:leftChars="0" w:firstLine="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供应商需对项目现状有一定的了解，并结自身的理解对项目需求进行分析。从对现状的了解和需求理解充分的程度来评分，</w:t>
            </w: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5DFEB9EC">
            <w:pPr>
              <w:widowControl/>
              <w:spacing w:line="360" w:lineRule="exact"/>
              <w:ind w:firstLine="0" w:firstLineChars="0"/>
              <w:jc w:val="left"/>
              <w:rPr>
                <w:rFonts w:hint="eastAsia" w:ascii="宋体" w:hAnsi="宋体" w:eastAsia="宋体" w:cs="宋体"/>
                <w:bCs/>
                <w:color w:val="auto"/>
                <w:sz w:val="24"/>
                <w:highlight w:val="none"/>
              </w:rPr>
            </w:pPr>
            <w:r>
              <w:rPr>
                <w:rFonts w:hint="eastAsia" w:ascii="宋体" w:hAnsi="宋体" w:cs="宋体"/>
                <w:bCs/>
                <w:color w:val="auto"/>
                <w:sz w:val="24"/>
                <w:highlight w:val="none"/>
              </w:rPr>
              <w:t>根据内容进行评分，本项</w:t>
            </w:r>
            <w:r>
              <w:rPr>
                <w:rFonts w:hint="eastAsia" w:ascii="宋体" w:hAnsi="宋体" w:eastAsia="宋体" w:cs="宋体"/>
                <w:bCs/>
                <w:color w:val="auto"/>
                <w:sz w:val="24"/>
                <w:highlight w:val="none"/>
              </w:rPr>
              <w:t>最高加</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w:t>
            </w:r>
            <w:r>
              <w:rPr>
                <w:rFonts w:hint="eastAsia" w:ascii="宋体" w:hAnsi="宋体" w:cs="宋体"/>
                <w:color w:val="auto"/>
                <w:sz w:val="24"/>
                <w:szCs w:val="24"/>
                <w:highlight w:val="none"/>
              </w:rPr>
              <w:t>现状和需求分析详细清晰</w:t>
            </w:r>
            <w:r>
              <w:rPr>
                <w:rFonts w:hint="eastAsia" w:ascii="宋体" w:hAnsi="宋体" w:eastAsia="宋体" w:cs="宋体"/>
                <w:bCs/>
                <w:color w:val="auto"/>
                <w:sz w:val="24"/>
                <w:highlight w:val="none"/>
              </w:rPr>
              <w:t>得</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分；2.</w:t>
            </w:r>
            <w:r>
              <w:rPr>
                <w:rFonts w:hint="eastAsia" w:ascii="宋体" w:hAnsi="宋体" w:cs="宋体"/>
                <w:color w:val="auto"/>
                <w:sz w:val="24"/>
                <w:szCs w:val="24"/>
                <w:highlight w:val="none"/>
              </w:rPr>
              <w:t>现状和需求分析较详细清晰</w:t>
            </w:r>
            <w:r>
              <w:rPr>
                <w:rFonts w:hint="eastAsia" w:ascii="宋体" w:hAnsi="宋体" w:eastAsia="宋体" w:cs="宋体"/>
                <w:bCs/>
                <w:color w:val="auto"/>
                <w:sz w:val="24"/>
                <w:highlight w:val="none"/>
              </w:rPr>
              <w:t>得</w:t>
            </w:r>
            <w:r>
              <w:rPr>
                <w:rFonts w:hint="eastAsia" w:ascii="宋体" w:hAnsi="宋体" w:cs="宋体"/>
                <w:bCs/>
                <w:color w:val="auto"/>
                <w:sz w:val="24"/>
                <w:highlight w:val="none"/>
                <w:lang w:val="en-US" w:eastAsia="zh-CN"/>
              </w:rPr>
              <w:t>8</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val="en-US" w:eastAsia="zh-CN"/>
              </w:rPr>
              <w:t>3.</w:t>
            </w:r>
            <w:r>
              <w:rPr>
                <w:rFonts w:hint="eastAsia" w:ascii="宋体" w:hAnsi="宋体" w:cs="宋体"/>
                <w:color w:val="auto"/>
                <w:sz w:val="24"/>
                <w:szCs w:val="24"/>
                <w:highlight w:val="none"/>
              </w:rPr>
              <w:t>现状和需求分析一般</w:t>
            </w:r>
            <w:r>
              <w:rPr>
                <w:rFonts w:hint="eastAsia" w:ascii="宋体" w:hAnsi="宋体" w:eastAsia="宋体" w:cs="宋体"/>
                <w:bCs/>
                <w:color w:val="auto"/>
                <w:sz w:val="24"/>
                <w:highlight w:val="none"/>
              </w:rPr>
              <w:t>得</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分；</w:t>
            </w:r>
          </w:p>
          <w:p w14:paraId="07169041">
            <w:pPr>
              <w:widowControl/>
              <w:spacing w:line="360" w:lineRule="exact"/>
              <w:ind w:left="0" w:lef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sz w:val="24"/>
                <w:highlight w:val="none"/>
              </w:rPr>
              <w:t>注：以上累计得分，最高得</w:t>
            </w:r>
            <w:r>
              <w:rPr>
                <w:rFonts w:hint="eastAsia" w:ascii="宋体" w:hAnsi="宋体" w:cs="宋体"/>
                <w:bCs/>
                <w:color w:val="auto"/>
                <w:sz w:val="24"/>
                <w:highlight w:val="none"/>
                <w:lang w:val="en-US" w:eastAsia="zh-CN"/>
              </w:rPr>
              <w:t>12</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未提供内容的不</w:t>
            </w:r>
            <w:r>
              <w:rPr>
                <w:rFonts w:hint="eastAsia" w:ascii="宋体" w:hAnsi="宋体" w:cs="宋体"/>
                <w:color w:val="auto"/>
                <w:sz w:val="24"/>
                <w:szCs w:val="24"/>
                <w:highlight w:val="none"/>
              </w:rPr>
              <w:t>得分。</w:t>
            </w:r>
          </w:p>
        </w:tc>
        <w:tc>
          <w:tcPr>
            <w:tcW w:w="3097" w:type="dxa"/>
            <w:noWrap w:val="0"/>
            <w:vAlign w:val="center"/>
          </w:tcPr>
          <w:p w14:paraId="1D03F200">
            <w:pPr>
              <w:spacing w:line="400" w:lineRule="exact"/>
              <w:ind w:left="0" w:leftChars="0"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提供书面方案</w:t>
            </w:r>
          </w:p>
        </w:tc>
      </w:tr>
      <w:tr w14:paraId="3CB7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59" w:type="dxa"/>
            <w:noWrap w:val="0"/>
            <w:vAlign w:val="center"/>
          </w:tcPr>
          <w:p w14:paraId="24E61ACC">
            <w:pPr>
              <w:widowControl w:val="0"/>
              <w:shd w:val="clear" w:color="auto" w:fill="auto"/>
              <w:spacing w:line="400" w:lineRule="exact"/>
              <w:ind w:firstLine="0"/>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3</w:t>
            </w:r>
          </w:p>
        </w:tc>
        <w:tc>
          <w:tcPr>
            <w:tcW w:w="1039" w:type="dxa"/>
            <w:noWrap w:val="0"/>
            <w:vAlign w:val="center"/>
          </w:tcPr>
          <w:p w14:paraId="7F266E8F">
            <w:pPr>
              <w:widowControl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培训</w:t>
            </w:r>
          </w:p>
          <w:p w14:paraId="2AC67856">
            <w:pPr>
              <w:widowControl w:val="0"/>
              <w:spacing w:line="400" w:lineRule="exact"/>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cs="宋体"/>
                <w:color w:val="auto"/>
                <w:sz w:val="24"/>
                <w:szCs w:val="24"/>
              </w:rPr>
              <w:t>方案</w:t>
            </w:r>
          </w:p>
        </w:tc>
        <w:tc>
          <w:tcPr>
            <w:tcW w:w="633" w:type="dxa"/>
            <w:noWrap w:val="0"/>
            <w:vAlign w:val="center"/>
          </w:tcPr>
          <w:p w14:paraId="5B3D4A3A">
            <w:pPr>
              <w:widowControl w:val="0"/>
              <w:spacing w:line="400" w:lineRule="exact"/>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p>
        </w:tc>
        <w:tc>
          <w:tcPr>
            <w:tcW w:w="5072" w:type="dxa"/>
            <w:noWrap w:val="0"/>
            <w:vAlign w:val="center"/>
          </w:tcPr>
          <w:p w14:paraId="3F4B2E99">
            <w:pPr>
              <w:widowControl/>
              <w:spacing w:line="360" w:lineRule="exact"/>
              <w:ind w:left="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培训方案</w:t>
            </w:r>
            <w:r>
              <w:rPr>
                <w:rFonts w:hint="eastAsia" w:ascii="宋体" w:hAnsi="宋体" w:cs="宋体"/>
                <w:color w:val="auto"/>
                <w:sz w:val="24"/>
                <w:szCs w:val="24"/>
                <w:highlight w:val="none"/>
                <w:lang w:val="en-US" w:eastAsia="zh-CN"/>
              </w:rPr>
              <w:t>包含但不限于</w:t>
            </w:r>
            <w:r>
              <w:rPr>
                <w:rFonts w:hint="eastAsia" w:ascii="宋体" w:hAnsi="宋体" w:cs="宋体"/>
                <w:color w:val="auto"/>
                <w:sz w:val="24"/>
                <w:szCs w:val="24"/>
                <w:highlight w:val="none"/>
              </w:rPr>
              <w:t>人员岗前培训、有资质的培训课程内容全面、丰富，培训计划</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规划情况</w:t>
            </w:r>
            <w:r>
              <w:rPr>
                <w:rFonts w:hint="eastAsia" w:ascii="宋体" w:hAnsi="宋体" w:cs="宋体"/>
                <w:color w:val="auto"/>
                <w:sz w:val="24"/>
                <w:szCs w:val="24"/>
                <w:highlight w:val="none"/>
                <w:lang w:val="en-US" w:eastAsia="zh-CN"/>
              </w:rPr>
              <w:t>进行评分，</w:t>
            </w:r>
          </w:p>
          <w:p w14:paraId="4D918AB9">
            <w:pPr>
              <w:widowControl/>
              <w:spacing w:line="360" w:lineRule="exact"/>
              <w:ind w:firstLine="0" w:firstLineChars="0"/>
              <w:rPr>
                <w:rFonts w:hint="eastAsia" w:ascii="宋体" w:hAnsi="宋体" w:cs="宋体"/>
                <w:color w:val="auto"/>
                <w:sz w:val="24"/>
                <w:highlight w:val="none"/>
              </w:rPr>
            </w:pP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77B22864">
            <w:pPr>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内容进行评分，本项</w:t>
            </w:r>
            <w:r>
              <w:rPr>
                <w:rFonts w:hint="eastAsia" w:ascii="宋体" w:hAnsi="宋体" w:eastAsia="宋体" w:cs="宋体"/>
                <w:bCs/>
                <w:color w:val="auto"/>
                <w:sz w:val="24"/>
                <w:highlight w:val="none"/>
              </w:rPr>
              <w:t>最高加</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1.方案完整、可行，能完全满足项目实施要求，得</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分；2.方案较具体、可行，能基本满足项目实施要求，得</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方案内容简单，对项目实施要求响应一般，得</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分；</w:t>
            </w:r>
          </w:p>
          <w:p w14:paraId="63729E22">
            <w:pPr>
              <w:widowControl/>
              <w:spacing w:line="360" w:lineRule="exact"/>
              <w:ind w:left="0" w:leftChars="0" w:firstLine="0" w:firstLineChars="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bCs/>
                <w:color w:val="auto"/>
                <w:sz w:val="24"/>
                <w:highlight w:val="none"/>
              </w:rPr>
              <w:t>注：以上累计得分，最高得</w:t>
            </w:r>
            <w:r>
              <w:rPr>
                <w:rFonts w:hint="eastAsia" w:ascii="宋体" w:hAnsi="宋体" w:eastAsia="宋体" w:cs="宋体"/>
                <w:bCs/>
                <w:color w:val="auto"/>
                <w:sz w:val="24"/>
                <w:highlight w:val="none"/>
                <w:lang w:val="en-US" w:eastAsia="zh-CN"/>
              </w:rPr>
              <w:t>12</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未提供内容的不</w:t>
            </w:r>
            <w:r>
              <w:rPr>
                <w:rFonts w:hint="eastAsia" w:ascii="宋体" w:hAnsi="宋体" w:cs="宋体"/>
                <w:color w:val="auto"/>
                <w:sz w:val="24"/>
                <w:szCs w:val="24"/>
                <w:highlight w:val="none"/>
              </w:rPr>
              <w:t>得分。</w:t>
            </w:r>
          </w:p>
        </w:tc>
        <w:tc>
          <w:tcPr>
            <w:tcW w:w="3097" w:type="dxa"/>
            <w:noWrap w:val="0"/>
            <w:vAlign w:val="center"/>
          </w:tcPr>
          <w:p w14:paraId="4545A334">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提供书面方案</w:t>
            </w:r>
          </w:p>
        </w:tc>
      </w:tr>
      <w:tr w14:paraId="633A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59" w:type="dxa"/>
            <w:noWrap w:val="0"/>
            <w:vAlign w:val="center"/>
          </w:tcPr>
          <w:p w14:paraId="2CCDB1F6">
            <w:pPr>
              <w:widowControl w:val="0"/>
              <w:shd w:val="clear" w:color="auto" w:fill="auto"/>
              <w:spacing w:line="400" w:lineRule="exact"/>
              <w:ind w:firstLine="0"/>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2.4</w:t>
            </w:r>
          </w:p>
        </w:tc>
        <w:tc>
          <w:tcPr>
            <w:tcW w:w="1039" w:type="dxa"/>
            <w:noWrap w:val="0"/>
            <w:vAlign w:val="center"/>
          </w:tcPr>
          <w:p w14:paraId="0846ABC7">
            <w:pPr>
              <w:widowControl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特色及难点</w:t>
            </w:r>
          </w:p>
          <w:p w14:paraId="700D0104">
            <w:pPr>
              <w:widowControl w:val="0"/>
              <w:spacing w:line="400" w:lineRule="exact"/>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rPr>
              <w:t>分析</w:t>
            </w:r>
          </w:p>
        </w:tc>
        <w:tc>
          <w:tcPr>
            <w:tcW w:w="633" w:type="dxa"/>
            <w:noWrap w:val="0"/>
            <w:vAlign w:val="center"/>
          </w:tcPr>
          <w:p w14:paraId="670379B4">
            <w:pPr>
              <w:widowControl w:val="0"/>
              <w:spacing w:line="400" w:lineRule="exact"/>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p>
        </w:tc>
        <w:tc>
          <w:tcPr>
            <w:tcW w:w="5072" w:type="dxa"/>
            <w:noWrap w:val="0"/>
            <w:vAlign w:val="center"/>
          </w:tcPr>
          <w:p w14:paraId="463C8DC6">
            <w:pPr>
              <w:widowControl/>
              <w:spacing w:line="360" w:lineRule="exact"/>
              <w:ind w:firstLine="0" w:firstLineChars="0"/>
              <w:jc w:val="left"/>
              <w:rPr>
                <w:rFonts w:hint="eastAsia" w:ascii="宋体" w:hAnsi="宋体" w:cs="宋体"/>
                <w:color w:val="auto"/>
                <w:sz w:val="24"/>
                <w:highlight w:val="none"/>
              </w:rPr>
            </w:pPr>
            <w:r>
              <w:rPr>
                <w:rFonts w:hint="eastAsia" w:ascii="宋体" w:hAnsi="宋体" w:cs="宋体"/>
                <w:color w:val="auto"/>
                <w:sz w:val="24"/>
                <w:szCs w:val="24"/>
              </w:rPr>
              <w:t>针对辖区内0-6岁儿童感统训练特色及难点分析：供应商需对项目现状有一定的了解，并结自身的理解对项目特色及难点进行分析。</w:t>
            </w: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4484D02A">
            <w:pPr>
              <w:widowControl/>
              <w:spacing w:line="360" w:lineRule="exact"/>
              <w:ind w:firstLine="0" w:firstLineChars="0"/>
              <w:jc w:val="left"/>
              <w:rPr>
                <w:rFonts w:hint="eastAsia" w:ascii="宋体" w:hAnsi="宋体" w:eastAsia="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内容进行评分，本项</w:t>
            </w:r>
            <w:r>
              <w:rPr>
                <w:rFonts w:hint="eastAsia" w:ascii="宋体" w:hAnsi="宋体" w:eastAsia="宋体" w:cs="宋体"/>
                <w:bCs/>
                <w:color w:val="auto"/>
                <w:sz w:val="24"/>
                <w:highlight w:val="none"/>
              </w:rPr>
              <w:t>最高加</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1.方案完整、可行，能完全满足项目实施要求，得</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分；2.方案较具体、可行，能基本满足项目实施要求，得</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方案内容简单，对项目实施要求响应一般，得</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分；</w:t>
            </w:r>
          </w:p>
          <w:p w14:paraId="0F56CA6D">
            <w:pPr>
              <w:widowControl/>
              <w:spacing w:line="360" w:lineRule="exact"/>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注：以上累计得分，最高得</w:t>
            </w:r>
            <w:r>
              <w:rPr>
                <w:rFonts w:hint="eastAsia" w:ascii="宋体" w:hAnsi="宋体" w:eastAsia="宋体" w:cs="宋体"/>
                <w:bCs/>
                <w:color w:val="auto"/>
                <w:sz w:val="24"/>
                <w:highlight w:val="none"/>
                <w:lang w:val="en-US" w:eastAsia="zh-CN"/>
              </w:rPr>
              <w:t>12</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lang w:val="en-US" w:eastAsia="zh-CN"/>
              </w:rPr>
              <w:t>未提供内容的不</w:t>
            </w:r>
            <w:r>
              <w:rPr>
                <w:rFonts w:hint="eastAsia" w:ascii="宋体" w:hAnsi="宋体" w:cs="宋体"/>
                <w:color w:val="auto"/>
                <w:sz w:val="24"/>
                <w:szCs w:val="24"/>
              </w:rPr>
              <w:t>得分。</w:t>
            </w:r>
          </w:p>
        </w:tc>
        <w:tc>
          <w:tcPr>
            <w:tcW w:w="3097" w:type="dxa"/>
            <w:noWrap w:val="0"/>
            <w:vAlign w:val="center"/>
          </w:tcPr>
          <w:p w14:paraId="1C0D688E">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提供书面方案</w:t>
            </w:r>
          </w:p>
        </w:tc>
      </w:tr>
      <w:tr w14:paraId="4834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59" w:type="dxa"/>
            <w:noWrap w:val="0"/>
            <w:vAlign w:val="center"/>
          </w:tcPr>
          <w:p w14:paraId="236D6725">
            <w:pPr>
              <w:widowControl w:val="0"/>
              <w:shd w:val="clear"/>
              <w:spacing w:line="400" w:lineRule="exact"/>
              <w:ind w:firstLine="0"/>
              <w:jc w:val="center"/>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w:t>
            </w:r>
          </w:p>
        </w:tc>
        <w:tc>
          <w:tcPr>
            <w:tcW w:w="1039" w:type="dxa"/>
            <w:noWrap w:val="0"/>
            <w:vAlign w:val="center"/>
          </w:tcPr>
          <w:p w14:paraId="3B479087">
            <w:pPr>
              <w:widowControl w:val="0"/>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w:t>
            </w:r>
          </w:p>
          <w:p w14:paraId="46B97891">
            <w:pPr>
              <w:widowControl w:val="0"/>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rPr>
              <w:t>质量</w:t>
            </w:r>
            <w:r>
              <w:rPr>
                <w:rFonts w:hint="eastAsia" w:ascii="宋体" w:hAnsi="宋体" w:cs="宋体"/>
                <w:color w:val="auto"/>
                <w:sz w:val="24"/>
                <w:szCs w:val="24"/>
                <w:highlight w:val="none"/>
                <w:lang w:val="en-US" w:eastAsia="zh-CN"/>
              </w:rPr>
              <w:t>保证措施</w:t>
            </w:r>
          </w:p>
        </w:tc>
        <w:tc>
          <w:tcPr>
            <w:tcW w:w="633" w:type="dxa"/>
            <w:noWrap w:val="0"/>
            <w:vAlign w:val="center"/>
          </w:tcPr>
          <w:p w14:paraId="6FB45056">
            <w:pPr>
              <w:widowControl w:val="0"/>
              <w:spacing w:line="40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5072" w:type="dxa"/>
            <w:noWrap w:val="0"/>
            <w:vAlign w:val="center"/>
          </w:tcPr>
          <w:p w14:paraId="15D85AF0">
            <w:pPr>
              <w:widowControl/>
              <w:spacing w:line="360" w:lineRule="exact"/>
              <w:ind w:firstLine="0" w:firstLineChars="0"/>
              <w:jc w:val="left"/>
              <w:rPr>
                <w:rFonts w:hint="eastAsia" w:ascii="宋体" w:hAnsi="宋体" w:cs="宋体"/>
                <w:color w:val="auto"/>
                <w:sz w:val="24"/>
                <w:highlight w:val="none"/>
              </w:rPr>
            </w:pPr>
            <w:r>
              <w:rPr>
                <w:rFonts w:hint="eastAsia" w:ascii="宋体" w:hAnsi="宋体" w:cs="宋体"/>
                <w:color w:val="auto"/>
                <w:sz w:val="24"/>
                <w:szCs w:val="24"/>
                <w:highlight w:val="none"/>
              </w:rPr>
              <w:t>根据供应商提供的服务</w:t>
            </w:r>
            <w:r>
              <w:rPr>
                <w:rFonts w:hint="eastAsia" w:ascii="宋体" w:hAnsi="宋体" w:cs="宋体"/>
                <w:color w:val="auto"/>
                <w:sz w:val="24"/>
                <w:szCs w:val="24"/>
                <w:highlight w:val="none"/>
                <w:lang w:val="en-US" w:eastAsia="zh-CN"/>
              </w:rPr>
              <w:t>质量保证措施</w:t>
            </w:r>
            <w:r>
              <w:rPr>
                <w:rFonts w:hint="eastAsia" w:ascii="宋体" w:hAnsi="宋体" w:cs="宋体"/>
                <w:color w:val="auto"/>
                <w:sz w:val="24"/>
                <w:szCs w:val="24"/>
                <w:highlight w:val="none"/>
              </w:rPr>
              <w:t>进行评审</w:t>
            </w:r>
            <w:r>
              <w:rPr>
                <w:rFonts w:hint="eastAsia" w:ascii="宋体" w:hAnsi="宋体" w:cs="宋体"/>
                <w:color w:val="auto"/>
                <w:sz w:val="24"/>
                <w:szCs w:val="24"/>
                <w:highlight w:val="none"/>
                <w:lang w:eastAsia="zh-CN"/>
              </w:rPr>
              <w:t>，</w:t>
            </w:r>
            <w:r>
              <w:rPr>
                <w:rFonts w:hint="eastAsia" w:ascii="宋体" w:hAnsi="宋体" w:cs="宋体"/>
                <w:color w:val="auto"/>
                <w:sz w:val="24"/>
                <w:highlight w:val="none"/>
              </w:rPr>
              <w:t>内容点全部满足的，得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分，缺漏</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w:t>
            </w:r>
            <w:r>
              <w:rPr>
                <w:rFonts w:hint="eastAsia" w:ascii="宋体" w:hAnsi="宋体" w:cs="宋体"/>
                <w:color w:val="auto"/>
                <w:sz w:val="24"/>
                <w:highlight w:val="none"/>
                <w:lang w:val="en-US" w:eastAsia="zh-CN"/>
              </w:rPr>
              <w:t>扣1分</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扣完为止</w:t>
            </w:r>
            <w:r>
              <w:rPr>
                <w:rFonts w:hint="eastAsia" w:ascii="宋体" w:hAnsi="宋体" w:cs="宋体"/>
                <w:color w:val="auto"/>
                <w:sz w:val="24"/>
                <w:highlight w:val="none"/>
              </w:rPr>
              <w:t>；</w:t>
            </w:r>
          </w:p>
          <w:p w14:paraId="61A83F5C">
            <w:pPr>
              <w:widowControl/>
              <w:spacing w:line="360" w:lineRule="exact"/>
              <w:ind w:firstLine="0" w:firstLineChars="0"/>
              <w:jc w:val="left"/>
              <w:rPr>
                <w:rFonts w:hint="eastAsia" w:ascii="宋体" w:hAnsi="宋体" w:eastAsia="宋体" w:cs="宋体"/>
                <w:bCs/>
                <w:color w:val="auto"/>
                <w:sz w:val="24"/>
                <w:highlight w:val="none"/>
              </w:rPr>
            </w:pPr>
            <w:r>
              <w:rPr>
                <w:rFonts w:hint="eastAsia" w:ascii="宋体" w:hAnsi="宋体" w:cs="宋体"/>
                <w:bCs/>
                <w:color w:val="auto"/>
                <w:sz w:val="24"/>
                <w:highlight w:val="none"/>
              </w:rPr>
              <w:t>根据</w:t>
            </w:r>
            <w:r>
              <w:rPr>
                <w:rFonts w:hint="eastAsia" w:ascii="宋体" w:hAnsi="宋体" w:cs="宋体"/>
                <w:bCs/>
                <w:color w:val="auto"/>
                <w:sz w:val="24"/>
                <w:highlight w:val="none"/>
                <w:lang w:val="en-US" w:eastAsia="zh-CN"/>
              </w:rPr>
              <w:t>方案</w:t>
            </w:r>
            <w:r>
              <w:rPr>
                <w:rFonts w:hint="eastAsia" w:ascii="宋体" w:hAnsi="宋体" w:cs="宋体"/>
                <w:bCs/>
                <w:color w:val="auto"/>
                <w:sz w:val="24"/>
                <w:highlight w:val="none"/>
              </w:rPr>
              <w:t>内容进行评分，本项</w:t>
            </w:r>
            <w:r>
              <w:rPr>
                <w:rFonts w:hint="eastAsia" w:ascii="宋体" w:hAnsi="宋体" w:eastAsia="宋体" w:cs="宋体"/>
                <w:bCs/>
                <w:color w:val="auto"/>
                <w:sz w:val="24"/>
                <w:highlight w:val="none"/>
              </w:rPr>
              <w:t>最高加</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w:t>
            </w:r>
            <w:r>
              <w:rPr>
                <w:rFonts w:hint="eastAsia" w:ascii="宋体" w:hAnsi="宋体" w:cs="宋体"/>
                <w:color w:val="auto"/>
                <w:sz w:val="24"/>
                <w:szCs w:val="24"/>
                <w:highlight w:val="none"/>
              </w:rPr>
              <w:t>方案详细具体、可</w:t>
            </w:r>
            <w:r>
              <w:rPr>
                <w:rFonts w:hint="eastAsia" w:ascii="宋体" w:hAnsi="宋体" w:cs="宋体"/>
                <w:color w:val="auto"/>
                <w:sz w:val="24"/>
                <w:szCs w:val="24"/>
                <w:highlight w:val="none"/>
                <w:lang w:val="en-US" w:eastAsia="zh-CN"/>
              </w:rPr>
              <w:t>行性</w:t>
            </w:r>
            <w:r>
              <w:rPr>
                <w:rFonts w:hint="eastAsia" w:ascii="宋体" w:hAnsi="宋体" w:cs="宋体"/>
                <w:color w:val="auto"/>
                <w:sz w:val="24"/>
                <w:szCs w:val="24"/>
                <w:highlight w:val="none"/>
              </w:rPr>
              <w:t>强，</w:t>
            </w:r>
            <w:r>
              <w:rPr>
                <w:rFonts w:hint="eastAsia" w:ascii="宋体" w:hAnsi="宋体" w:eastAsia="宋体" w:cs="宋体"/>
                <w:bCs/>
                <w:color w:val="auto"/>
                <w:sz w:val="24"/>
                <w:highlight w:val="none"/>
              </w:rPr>
              <w:t>能完全满足项目实施要求，得</w:t>
            </w:r>
            <w:r>
              <w:rPr>
                <w:rFonts w:hint="eastAsia" w:ascii="宋体" w:hAnsi="宋体" w:eastAsia="宋体" w:cs="宋体"/>
                <w:bCs/>
                <w:color w:val="auto"/>
                <w:sz w:val="24"/>
                <w:highlight w:val="none"/>
                <w:lang w:val="en-US" w:eastAsia="zh-CN"/>
              </w:rPr>
              <w:t>10</w:t>
            </w:r>
            <w:r>
              <w:rPr>
                <w:rFonts w:hint="eastAsia" w:ascii="宋体" w:hAnsi="宋体" w:eastAsia="宋体" w:cs="宋体"/>
                <w:bCs/>
                <w:color w:val="auto"/>
                <w:sz w:val="24"/>
                <w:highlight w:val="none"/>
              </w:rPr>
              <w:t>分；2.方案较具体、可行，能基本满足项目实施要求，得</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rPr>
              <w:t>分；</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方案内容简单，对项目实施要求响应一般，得</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分；</w:t>
            </w:r>
          </w:p>
          <w:p w14:paraId="0551C628">
            <w:pPr>
              <w:widowControl/>
              <w:spacing w:line="360" w:lineRule="exact"/>
              <w:ind w:left="0" w:firstLine="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highlight w:val="none"/>
              </w:rPr>
              <w:t>注：以上累计得分，最高得</w:t>
            </w:r>
            <w:r>
              <w:rPr>
                <w:rFonts w:hint="eastAsia" w:ascii="宋体" w:hAnsi="宋体" w:eastAsia="宋体" w:cs="宋体"/>
                <w:bCs/>
                <w:color w:val="auto"/>
                <w:sz w:val="24"/>
                <w:highlight w:val="none"/>
                <w:lang w:val="en-US" w:eastAsia="zh-CN"/>
              </w:rPr>
              <w:t>12</w:t>
            </w:r>
            <w:r>
              <w:rPr>
                <w:rFonts w:hint="eastAsia" w:ascii="宋体" w:hAnsi="宋体" w:eastAsia="宋体" w:cs="宋体"/>
                <w:bCs/>
                <w:color w:val="auto"/>
                <w:sz w:val="24"/>
                <w:highlight w:val="none"/>
              </w:rPr>
              <w:t>分</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未提供内容的不</w:t>
            </w:r>
            <w:r>
              <w:rPr>
                <w:rFonts w:hint="eastAsia" w:ascii="宋体" w:hAnsi="宋体" w:cs="宋体"/>
                <w:color w:val="auto"/>
                <w:sz w:val="24"/>
                <w:szCs w:val="24"/>
                <w:highlight w:val="none"/>
              </w:rPr>
              <w:t>得分。</w:t>
            </w:r>
          </w:p>
        </w:tc>
        <w:tc>
          <w:tcPr>
            <w:tcW w:w="3097" w:type="dxa"/>
            <w:noWrap w:val="0"/>
            <w:vAlign w:val="center"/>
          </w:tcPr>
          <w:p w14:paraId="20F3285B">
            <w:pPr>
              <w:spacing w:line="400" w:lineRule="exact"/>
              <w:ind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提供书面方案</w:t>
            </w:r>
          </w:p>
        </w:tc>
      </w:tr>
      <w:tr w14:paraId="5388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dxa"/>
            <w:noWrap w:val="0"/>
            <w:vAlign w:val="center"/>
          </w:tcPr>
          <w:p w14:paraId="340E4BAD">
            <w:pPr>
              <w:widowControl w:val="0"/>
              <w:shd w:val="clear"/>
              <w:spacing w:line="400" w:lineRule="exact"/>
              <w:ind w:firstLine="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2.6</w:t>
            </w:r>
          </w:p>
        </w:tc>
        <w:tc>
          <w:tcPr>
            <w:tcW w:w="1039" w:type="dxa"/>
            <w:shd w:val="clear" w:color="auto" w:fill="auto"/>
            <w:noWrap w:val="0"/>
            <w:vAlign w:val="center"/>
          </w:tcPr>
          <w:p w14:paraId="6AA87835">
            <w:pPr>
              <w:widowControl w:val="0"/>
              <w:spacing w:line="400" w:lineRule="exact"/>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cs="宋体"/>
                <w:color w:val="auto"/>
                <w:kern w:val="0"/>
                <w:sz w:val="24"/>
                <w:szCs w:val="24"/>
                <w:highlight w:val="none"/>
                <w:lang w:val="en-US" w:eastAsia="zh-CN"/>
              </w:rPr>
              <w:t>增值服务或承诺</w:t>
            </w:r>
          </w:p>
        </w:tc>
        <w:tc>
          <w:tcPr>
            <w:tcW w:w="633" w:type="dxa"/>
            <w:shd w:val="clear" w:color="auto" w:fill="auto"/>
            <w:noWrap w:val="0"/>
            <w:vAlign w:val="center"/>
          </w:tcPr>
          <w:p w14:paraId="63DCA251">
            <w:pPr>
              <w:widowControl w:val="0"/>
              <w:spacing w:line="400" w:lineRule="exact"/>
              <w:jc w:val="center"/>
              <w:rPr>
                <w:rFonts w:hint="default" w:ascii="宋体" w:hAnsi="宋体" w:eastAsia="宋体" w:cs="宋体"/>
                <w:b w:val="0"/>
                <w:bCs w:val="0"/>
                <w:color w:val="auto"/>
                <w:sz w:val="24"/>
                <w:szCs w:val="24"/>
                <w:highlight w:val="none"/>
                <w:lang w:val="en-US" w:eastAsia="zh-CN" w:bidi="ar-SA"/>
              </w:rPr>
            </w:pPr>
            <w:r>
              <w:rPr>
                <w:rFonts w:hint="eastAsia" w:ascii="宋体" w:hAnsi="宋体" w:cs="宋体"/>
                <w:color w:val="auto"/>
                <w:kern w:val="0"/>
                <w:sz w:val="24"/>
                <w:szCs w:val="24"/>
                <w:highlight w:val="none"/>
                <w:lang w:val="en-US" w:eastAsia="zh-CN"/>
              </w:rPr>
              <w:t>6</w:t>
            </w:r>
          </w:p>
        </w:tc>
        <w:tc>
          <w:tcPr>
            <w:tcW w:w="5072" w:type="dxa"/>
            <w:shd w:val="clear" w:color="auto" w:fill="auto"/>
            <w:noWrap w:val="0"/>
            <w:vAlign w:val="center"/>
          </w:tcPr>
          <w:p w14:paraId="1C7F795F">
            <w:pPr>
              <w:widowControl/>
              <w:spacing w:line="360" w:lineRule="exact"/>
              <w:ind w:left="0" w:lef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rPr>
              <w:t>供应商提供和采购人合作医疗服务相关方便</w:t>
            </w:r>
            <w:r>
              <w:rPr>
                <w:rFonts w:hint="eastAsia" w:ascii="宋体" w:hAnsi="宋体" w:cs="宋体"/>
                <w:color w:val="auto"/>
                <w:sz w:val="24"/>
                <w:szCs w:val="24"/>
                <w:highlight w:val="none"/>
                <w:lang w:eastAsia="zh-CN"/>
              </w:rPr>
              <w:t>增值服务或承诺</w:t>
            </w:r>
            <w:r>
              <w:rPr>
                <w:rFonts w:hint="eastAsia" w:ascii="宋体" w:hAnsi="宋体" w:cs="宋体"/>
                <w:color w:val="auto"/>
                <w:sz w:val="24"/>
                <w:szCs w:val="24"/>
                <w:highlight w:val="none"/>
              </w:rPr>
              <w:t>，经评审，被评审小组采纳一个得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最高得6</w:t>
            </w:r>
            <w:r>
              <w:rPr>
                <w:rFonts w:hint="eastAsia" w:ascii="宋体" w:hAnsi="宋体" w:cs="宋体"/>
                <w:color w:val="auto"/>
                <w:sz w:val="24"/>
                <w:szCs w:val="24"/>
                <w:highlight w:val="none"/>
              </w:rPr>
              <w:t>分。</w:t>
            </w:r>
          </w:p>
        </w:tc>
        <w:tc>
          <w:tcPr>
            <w:tcW w:w="3097" w:type="dxa"/>
            <w:shd w:val="clear" w:color="auto" w:fill="auto"/>
            <w:noWrap w:val="0"/>
            <w:vAlign w:val="center"/>
          </w:tcPr>
          <w:p w14:paraId="2840039A">
            <w:pPr>
              <w:spacing w:line="400" w:lineRule="exact"/>
              <w:ind w:firstLine="0" w:firstLineChars="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rPr>
              <w:t>（提供加盖公章的承诺函。）</w:t>
            </w:r>
          </w:p>
        </w:tc>
      </w:tr>
      <w:tr w14:paraId="0A55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47665BD2">
            <w:pPr>
              <w:shd w:val="clear" w:color="auto" w:fill="auto"/>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w:t>
            </w:r>
          </w:p>
        </w:tc>
        <w:tc>
          <w:tcPr>
            <w:tcW w:w="1039" w:type="dxa"/>
            <w:noWrap w:val="0"/>
            <w:vAlign w:val="center"/>
          </w:tcPr>
          <w:p w14:paraId="16D0B6DF">
            <w:pPr>
              <w:shd w:val="clear" w:color="auto" w:fill="auto"/>
              <w:ind w:firstLine="28"/>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客观分</w:t>
            </w:r>
          </w:p>
        </w:tc>
        <w:tc>
          <w:tcPr>
            <w:tcW w:w="633" w:type="dxa"/>
            <w:noWrap w:val="0"/>
            <w:vAlign w:val="center"/>
          </w:tcPr>
          <w:p w14:paraId="70538872">
            <w:pPr>
              <w:widowControl/>
              <w:shd w:val="clear" w:color="auto" w:fill="auto"/>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24</w:t>
            </w:r>
          </w:p>
        </w:tc>
        <w:tc>
          <w:tcPr>
            <w:tcW w:w="5072" w:type="dxa"/>
            <w:noWrap w:val="0"/>
            <w:vAlign w:val="center"/>
          </w:tcPr>
          <w:p w14:paraId="444C4AD6">
            <w:pPr>
              <w:shd w:val="clear" w:color="auto" w:fill="auto"/>
              <w:rPr>
                <w:rFonts w:hint="eastAsia" w:ascii="宋体" w:hAnsi="宋体" w:eastAsia="宋体" w:cs="宋体"/>
                <w:b/>
                <w:bCs/>
                <w:color w:val="auto"/>
                <w:sz w:val="24"/>
                <w:highlight w:val="none"/>
              </w:rPr>
            </w:pPr>
          </w:p>
        </w:tc>
        <w:tc>
          <w:tcPr>
            <w:tcW w:w="3097" w:type="dxa"/>
            <w:noWrap w:val="0"/>
            <w:vAlign w:val="center"/>
          </w:tcPr>
          <w:p w14:paraId="7EA80A6A">
            <w:pPr>
              <w:shd w:val="clear" w:color="auto" w:fill="auto"/>
              <w:rPr>
                <w:rFonts w:hint="eastAsia" w:ascii="宋体" w:hAnsi="宋体" w:eastAsia="宋体" w:cs="宋体"/>
                <w:b w:val="0"/>
                <w:bCs w:val="0"/>
                <w:color w:val="auto"/>
                <w:sz w:val="24"/>
                <w:highlight w:val="none"/>
              </w:rPr>
            </w:pPr>
          </w:p>
        </w:tc>
      </w:tr>
      <w:tr w14:paraId="13C8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659" w:type="dxa"/>
            <w:noWrap w:val="0"/>
            <w:vAlign w:val="center"/>
          </w:tcPr>
          <w:p w14:paraId="37F9D0EA">
            <w:pPr>
              <w:widowControl/>
              <w:shd w:val="clear" w:color="auto" w:fill="auto"/>
              <w:tabs>
                <w:tab w:val="left" w:pos="249"/>
                <w:tab w:val="center" w:pos="471"/>
              </w:tabs>
              <w:spacing w:line="400" w:lineRule="exact"/>
              <w:ind w:firstLine="0"/>
              <w:jc w:val="left"/>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bidi="ar-SA"/>
              </w:rPr>
              <w:t>3.1</w:t>
            </w:r>
          </w:p>
        </w:tc>
        <w:tc>
          <w:tcPr>
            <w:tcW w:w="1039" w:type="dxa"/>
            <w:noWrap w:val="0"/>
            <w:vAlign w:val="center"/>
          </w:tcPr>
          <w:p w14:paraId="7318667F">
            <w:pPr>
              <w:tabs>
                <w:tab w:val="left" w:pos="249"/>
                <w:tab w:val="center" w:pos="471"/>
              </w:tabs>
              <w:spacing w:line="400" w:lineRule="exact"/>
              <w:ind w:firstLine="0" w:firstLineChars="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综合</w:t>
            </w:r>
          </w:p>
          <w:p w14:paraId="4EE59C67">
            <w:pPr>
              <w:tabs>
                <w:tab w:val="left" w:pos="249"/>
                <w:tab w:val="center" w:pos="471"/>
              </w:tabs>
              <w:spacing w:line="400" w:lineRule="exact"/>
              <w:ind w:firstLine="0" w:firstLineChars="0"/>
              <w:jc w:val="center"/>
              <w:rPr>
                <w:rFonts w:hint="eastAsia" w:ascii="宋体" w:hAnsi="宋体" w:eastAsia="宋体" w:cs="宋体"/>
                <w:color w:val="auto"/>
                <w:sz w:val="24"/>
                <w:highlight w:val="none"/>
              </w:rPr>
            </w:pPr>
            <w:r>
              <w:rPr>
                <w:rFonts w:hint="eastAsia" w:ascii="宋体" w:hAnsi="宋体" w:cs="宋体"/>
                <w:color w:val="auto"/>
                <w:sz w:val="24"/>
                <w:szCs w:val="24"/>
                <w:highlight w:val="none"/>
              </w:rPr>
              <w:t>实力</w:t>
            </w:r>
            <w:r>
              <w:rPr>
                <w:rFonts w:hint="eastAsia" w:ascii="宋体" w:hAnsi="宋体" w:cs="宋体"/>
                <w:color w:val="auto"/>
                <w:sz w:val="24"/>
                <w:highlight w:val="none"/>
                <w:lang w:eastAsia="zh-CN"/>
              </w:rPr>
              <w:tab/>
            </w:r>
          </w:p>
        </w:tc>
        <w:tc>
          <w:tcPr>
            <w:tcW w:w="633" w:type="dxa"/>
            <w:noWrap w:val="0"/>
            <w:vAlign w:val="center"/>
          </w:tcPr>
          <w:p w14:paraId="576AAF1C">
            <w:pPr>
              <w:spacing w:line="400" w:lineRule="exact"/>
              <w:ind w:firstLine="0" w:firstLineChars="0"/>
              <w:jc w:val="center"/>
              <w:rPr>
                <w:rFonts w:hint="eastAsia" w:ascii="宋体" w:hAnsi="宋体" w:eastAsia="宋体" w:cs="宋体"/>
                <w:bCs w:val="0"/>
                <w:color w:val="auto"/>
                <w:sz w:val="24"/>
                <w:highlight w:val="none"/>
                <w:lang w:val="en-US" w:eastAsia="zh-CN"/>
              </w:rPr>
            </w:pPr>
            <w:r>
              <w:rPr>
                <w:rFonts w:hint="eastAsia" w:ascii="宋体" w:hAnsi="宋体" w:cs="宋体"/>
                <w:color w:val="auto"/>
                <w:sz w:val="24"/>
                <w:highlight w:val="yellow"/>
                <w:lang w:val="en-US" w:eastAsia="zh-CN"/>
              </w:rPr>
              <w:t>3</w:t>
            </w:r>
          </w:p>
        </w:tc>
        <w:tc>
          <w:tcPr>
            <w:tcW w:w="5072" w:type="dxa"/>
            <w:noWrap w:val="0"/>
            <w:vAlign w:val="top"/>
          </w:tcPr>
          <w:p w14:paraId="07CE8AE2">
            <w:pPr>
              <w:spacing w:line="36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供应商具有有效的质量管理体系认证的得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分；具有有效的环境管理体系认证的得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分；具有有效的健康体系认证的得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最高得3分。</w:t>
            </w:r>
          </w:p>
          <w:p w14:paraId="0B4FE5FB">
            <w:pPr>
              <w:widowControl w:val="0"/>
              <w:spacing w:line="400" w:lineRule="exact"/>
              <w:ind w:firstLine="0" w:firstLineChars="0"/>
              <w:jc w:val="left"/>
              <w:rPr>
                <w:rFonts w:hint="eastAsia" w:ascii="宋体" w:hAnsi="宋体" w:cs="宋体"/>
                <w:bCs w:val="0"/>
                <w:color w:val="auto"/>
                <w:sz w:val="24"/>
                <w:highlight w:val="none"/>
              </w:rPr>
            </w:pPr>
          </w:p>
        </w:tc>
        <w:tc>
          <w:tcPr>
            <w:tcW w:w="3097" w:type="dxa"/>
            <w:noWrap w:val="0"/>
            <w:vAlign w:val="center"/>
          </w:tcPr>
          <w:p w14:paraId="02B130E3">
            <w:pPr>
              <w:spacing w:line="400" w:lineRule="exact"/>
              <w:ind w:firstLine="0" w:firstLineChars="0"/>
              <w:jc w:val="left"/>
              <w:rPr>
                <w:rFonts w:hint="eastAsia" w:ascii="宋体" w:hAnsi="宋体" w:eastAsia="宋体" w:cs="宋体"/>
                <w:b w:val="0"/>
                <w:bCs w:val="0"/>
                <w:color w:val="auto"/>
                <w:sz w:val="24"/>
                <w:highlight w:val="none"/>
              </w:rPr>
            </w:pPr>
            <w:r>
              <w:rPr>
                <w:rFonts w:hint="eastAsia" w:ascii="宋体" w:hAnsi="宋体" w:cs="宋体"/>
                <w:color w:val="auto"/>
                <w:sz w:val="24"/>
                <w:szCs w:val="24"/>
                <w:highlight w:val="none"/>
              </w:rPr>
              <w:t>注：响应文件中提供以上证书</w:t>
            </w:r>
            <w:r>
              <w:rPr>
                <w:rFonts w:hint="eastAsia" w:ascii="宋体" w:hAnsi="宋体" w:cs="宋体"/>
                <w:color w:val="auto"/>
                <w:sz w:val="24"/>
                <w:szCs w:val="24"/>
                <w:highlight w:val="none"/>
                <w:lang w:val="en-US" w:eastAsia="zh-CN"/>
              </w:rPr>
              <w:t>扫描</w:t>
            </w:r>
            <w:r>
              <w:rPr>
                <w:rFonts w:hint="eastAsia" w:ascii="宋体" w:hAnsi="宋体" w:cs="宋体"/>
                <w:color w:val="auto"/>
                <w:sz w:val="24"/>
                <w:szCs w:val="24"/>
                <w:highlight w:val="none"/>
              </w:rPr>
              <w:t>件及全国认证认可信息公共服务平台证书查询截图且证书状态为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有效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，未提供或提供材料不齐全不得分。</w:t>
            </w:r>
          </w:p>
        </w:tc>
      </w:tr>
      <w:tr w14:paraId="3975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8" w:hRule="atLeast"/>
        </w:trPr>
        <w:tc>
          <w:tcPr>
            <w:tcW w:w="659" w:type="dxa"/>
            <w:vMerge w:val="restart"/>
            <w:noWrap w:val="0"/>
            <w:vAlign w:val="center"/>
          </w:tcPr>
          <w:p w14:paraId="7A9D0CD6">
            <w:pPr>
              <w:widowControl w:val="0"/>
              <w:shd w:val="clear" w:color="auto" w:fill="auto"/>
              <w:spacing w:line="400" w:lineRule="exact"/>
              <w:ind w:firstLine="0"/>
              <w:jc w:val="center"/>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szCs w:val="24"/>
                <w:highlight w:val="none"/>
                <w:lang w:val="en-US" w:eastAsia="zh-CN"/>
              </w:rPr>
              <w:t>3.2</w:t>
            </w:r>
          </w:p>
        </w:tc>
        <w:tc>
          <w:tcPr>
            <w:tcW w:w="1039" w:type="dxa"/>
            <w:vMerge w:val="restart"/>
            <w:noWrap w:val="0"/>
            <w:vAlign w:val="center"/>
          </w:tcPr>
          <w:p w14:paraId="603064E9">
            <w:pPr>
              <w:tabs>
                <w:tab w:val="left" w:pos="249"/>
                <w:tab w:val="center" w:pos="471"/>
              </w:tabs>
              <w:spacing w:line="400" w:lineRule="exact"/>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人员</w:t>
            </w:r>
          </w:p>
          <w:p w14:paraId="4362393C">
            <w:pPr>
              <w:tabs>
                <w:tab w:val="left" w:pos="249"/>
                <w:tab w:val="center" w:pos="471"/>
              </w:tabs>
              <w:spacing w:line="400" w:lineRule="exact"/>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配置</w:t>
            </w:r>
          </w:p>
          <w:p w14:paraId="0BDA3712">
            <w:pPr>
              <w:widowControl w:val="0"/>
              <w:spacing w:line="400" w:lineRule="exact"/>
              <w:jc w:val="center"/>
              <w:rPr>
                <w:rFonts w:hint="eastAsia" w:ascii="宋体" w:hAnsi="宋体" w:eastAsia="宋体" w:cs="宋体"/>
                <w:color w:val="auto"/>
                <w:sz w:val="24"/>
                <w:szCs w:val="24"/>
                <w:highlight w:val="none"/>
                <w:lang w:val="en-US" w:eastAsia="zh-CN" w:bidi="ar-SA"/>
              </w:rPr>
            </w:pPr>
          </w:p>
        </w:tc>
        <w:tc>
          <w:tcPr>
            <w:tcW w:w="633" w:type="dxa"/>
            <w:noWrap w:val="0"/>
            <w:vAlign w:val="center"/>
          </w:tcPr>
          <w:p w14:paraId="0BF130D4">
            <w:pPr>
              <w:spacing w:line="400" w:lineRule="exact"/>
              <w:ind w:firstLine="0" w:firstLineChars="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5072" w:type="dxa"/>
            <w:noWrap w:val="0"/>
            <w:vAlign w:val="top"/>
          </w:tcPr>
          <w:p w14:paraId="648B1FCB">
            <w:pPr>
              <w:widowControl/>
              <w:spacing w:line="400" w:lineRule="exact"/>
              <w:ind w:firstLine="0" w:firstLineChars="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1.项目负责人：</w:t>
            </w:r>
          </w:p>
          <w:p w14:paraId="7AC7466B">
            <w:pPr>
              <w:widowControl/>
              <w:spacing w:line="400" w:lineRule="exact"/>
              <w:ind w:firstLine="0" w:firstLineChars="0"/>
              <w:jc w:val="left"/>
              <w:rPr>
                <w:rFonts w:hint="eastAsia" w:ascii="宋体" w:hAnsi="宋体" w:cs="宋体"/>
                <w:color w:val="auto"/>
                <w:kern w:val="0"/>
                <w:sz w:val="24"/>
                <w:szCs w:val="24"/>
                <w:highlight w:val="none"/>
                <w:lang w:val="en-US" w:eastAsia="zh-CN"/>
              </w:rPr>
            </w:pPr>
            <w:r>
              <w:rPr>
                <w:rFonts w:hint="eastAsia" w:ascii="宋体" w:hAnsi="宋体" w:cs="宋体"/>
                <w:color w:val="auto"/>
                <w:sz w:val="24"/>
                <w:szCs w:val="24"/>
                <w:highlight w:val="none"/>
              </w:rPr>
              <w:t>拟投入的项目负责人</w:t>
            </w:r>
            <w:r>
              <w:rPr>
                <w:rFonts w:hint="eastAsia" w:ascii="宋体" w:hAnsi="宋体" w:cs="宋体"/>
                <w:color w:val="auto"/>
                <w:sz w:val="24"/>
                <w:szCs w:val="24"/>
                <w:highlight w:val="none"/>
                <w:lang w:val="en-US" w:eastAsia="zh-CN"/>
              </w:rPr>
              <w:t>有过3年及以上的公立医院服务经历的得6分。</w:t>
            </w:r>
          </w:p>
        </w:tc>
        <w:tc>
          <w:tcPr>
            <w:tcW w:w="3097" w:type="dxa"/>
            <w:noWrap w:val="0"/>
            <w:vAlign w:val="center"/>
          </w:tcPr>
          <w:p w14:paraId="0C08B032">
            <w:pPr>
              <w:widowControl/>
              <w:numPr>
                <w:ilvl w:val="-1"/>
                <w:numId w:val="0"/>
              </w:numPr>
              <w:spacing w:line="400" w:lineRule="exact"/>
              <w:ind w:firstLine="0" w:firstLineChars="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需同时提供：</w:t>
            </w:r>
          </w:p>
          <w:p w14:paraId="4757E486">
            <w:pPr>
              <w:widowControl/>
              <w:numPr>
                <w:ilvl w:val="-1"/>
                <w:numId w:val="0"/>
              </w:numPr>
              <w:spacing w:line="400" w:lineRule="exact"/>
              <w:ind w:firstLine="0" w:firstLineChars="0"/>
              <w:jc w:val="left"/>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1.服务协议扫描件及公立医院性质证明材料（注:协议内容须体现项目负责人工作年限），</w:t>
            </w:r>
            <w:r>
              <w:rPr>
                <w:rFonts w:hint="eastAsia" w:ascii="宋体" w:hAnsi="宋体" w:eastAsia="宋体" w:cs="宋体"/>
                <w:color w:val="auto"/>
                <w:sz w:val="24"/>
                <w:highlight w:val="none"/>
              </w:rPr>
              <w:t>未提供</w:t>
            </w:r>
            <w:r>
              <w:rPr>
                <w:rFonts w:hint="eastAsia" w:ascii="宋体" w:hAnsi="宋体" w:eastAsia="宋体" w:cs="宋体"/>
                <w:color w:val="auto"/>
                <w:sz w:val="24"/>
                <w:highlight w:val="none"/>
                <w:lang w:val="en-US" w:eastAsia="zh-CN"/>
              </w:rPr>
              <w:t>或不符合要求的，本项</w:t>
            </w:r>
            <w:r>
              <w:rPr>
                <w:rFonts w:hint="eastAsia" w:ascii="宋体" w:hAnsi="宋体" w:eastAsia="宋体" w:cs="宋体"/>
                <w:color w:val="auto"/>
                <w:sz w:val="24"/>
                <w:highlight w:val="none"/>
              </w:rPr>
              <w:t>不得分。</w:t>
            </w:r>
          </w:p>
          <w:p w14:paraId="7CA7D362">
            <w:pPr>
              <w:widowControl/>
              <w:spacing w:line="400" w:lineRule="exact"/>
              <w:ind w:firstLine="0" w:firstLineChars="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为其缴纳的近</w:t>
            </w:r>
            <w:r>
              <w:rPr>
                <w:rFonts w:hint="eastAsia" w:ascii="宋体" w:hAnsi="宋体" w:cs="宋体"/>
                <w:color w:val="auto"/>
                <w:sz w:val="24"/>
                <w:highlight w:val="none"/>
                <w:lang w:val="en-US" w:eastAsia="zh-CN"/>
              </w:rPr>
              <w:t>6个</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2025年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月至</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月连续</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个月</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五险一金证明</w:t>
            </w:r>
            <w:r>
              <w:rPr>
                <w:rFonts w:hint="eastAsia" w:ascii="宋体" w:hAnsi="宋体" w:eastAsia="宋体" w:cs="宋体"/>
                <w:color w:val="auto"/>
                <w:sz w:val="24"/>
                <w:highlight w:val="none"/>
                <w:lang w:val="en-US" w:eastAsia="zh-CN"/>
              </w:rPr>
              <w:t>材料</w:t>
            </w:r>
            <w:r>
              <w:rPr>
                <w:rFonts w:hint="eastAsia" w:ascii="宋体" w:hAnsi="宋体" w:cs="宋体"/>
                <w:color w:val="auto"/>
                <w:sz w:val="24"/>
                <w:highlight w:val="none"/>
                <w:lang w:val="en-US" w:eastAsia="zh-CN"/>
              </w:rPr>
              <w:t>扫描</w:t>
            </w:r>
            <w:r>
              <w:rPr>
                <w:rFonts w:hint="eastAsia" w:ascii="宋体" w:hAnsi="宋体" w:eastAsia="宋体" w:cs="宋体"/>
                <w:color w:val="auto"/>
                <w:sz w:val="24"/>
                <w:highlight w:val="none"/>
              </w:rPr>
              <w:t>件</w:t>
            </w:r>
            <w:r>
              <w:rPr>
                <w:rFonts w:hint="eastAsia" w:ascii="宋体" w:hAnsi="宋体" w:cs="宋体"/>
                <w:color w:val="auto"/>
                <w:sz w:val="24"/>
                <w:highlight w:val="none"/>
                <w:lang w:val="en-US" w:eastAsia="zh-CN"/>
              </w:rPr>
              <w:t>或者供应商与项目负责人签订的劳动合同扫描件</w:t>
            </w:r>
            <w:r>
              <w:rPr>
                <w:rFonts w:hint="eastAsia" w:ascii="宋体" w:hAnsi="宋体" w:eastAsia="宋体" w:cs="宋体"/>
                <w:color w:val="auto"/>
                <w:sz w:val="24"/>
                <w:highlight w:val="none"/>
              </w:rPr>
              <w:t>。</w:t>
            </w:r>
          </w:p>
          <w:p w14:paraId="2A2ABD13">
            <w:pPr>
              <w:widowControl/>
              <w:numPr>
                <w:ilvl w:val="-1"/>
                <w:numId w:val="0"/>
              </w:numPr>
              <w:spacing w:line="400" w:lineRule="exact"/>
              <w:ind w:firstLine="0" w:firstLineChars="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未提供上述材料或材料有缺漏或不符合要求的</w:t>
            </w:r>
            <w:r>
              <w:rPr>
                <w:rFonts w:hint="eastAsia" w:ascii="宋体" w:hAnsi="宋体" w:eastAsia="宋体" w:cs="宋体"/>
                <w:color w:val="auto"/>
                <w:sz w:val="24"/>
                <w:highlight w:val="none"/>
              </w:rPr>
              <w:t>不得分</w:t>
            </w:r>
            <w:r>
              <w:rPr>
                <w:rFonts w:hint="eastAsia" w:ascii="宋体" w:hAnsi="宋体" w:cs="宋体"/>
                <w:color w:val="auto"/>
                <w:sz w:val="24"/>
                <w:highlight w:val="none"/>
                <w:lang w:eastAsia="zh-CN"/>
              </w:rPr>
              <w:t>。</w:t>
            </w:r>
          </w:p>
        </w:tc>
      </w:tr>
      <w:tr w14:paraId="0867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trPr>
        <w:tc>
          <w:tcPr>
            <w:tcW w:w="659" w:type="dxa"/>
            <w:vMerge w:val="continue"/>
            <w:noWrap w:val="0"/>
            <w:vAlign w:val="center"/>
          </w:tcPr>
          <w:p w14:paraId="42EF0FF9">
            <w:pPr>
              <w:widowControl w:val="0"/>
              <w:shd w:val="clear" w:color="auto" w:fill="auto"/>
              <w:spacing w:line="400" w:lineRule="exact"/>
              <w:ind w:firstLine="0"/>
              <w:jc w:val="center"/>
              <w:rPr>
                <w:rFonts w:hint="eastAsia" w:ascii="宋体" w:hAnsi="宋体" w:eastAsia="宋体" w:cs="宋体"/>
                <w:color w:val="auto"/>
                <w:sz w:val="24"/>
                <w:highlight w:val="none"/>
                <w:lang w:val="en-US" w:eastAsia="zh-CN"/>
              </w:rPr>
            </w:pPr>
          </w:p>
        </w:tc>
        <w:tc>
          <w:tcPr>
            <w:tcW w:w="1039" w:type="dxa"/>
            <w:vMerge w:val="continue"/>
            <w:noWrap w:val="0"/>
            <w:vAlign w:val="center"/>
          </w:tcPr>
          <w:p w14:paraId="298B962D">
            <w:pPr>
              <w:widowControl w:val="0"/>
              <w:spacing w:line="400" w:lineRule="exact"/>
              <w:jc w:val="center"/>
              <w:rPr>
                <w:rFonts w:hint="eastAsia" w:ascii="宋体" w:hAnsi="宋体" w:eastAsia="宋体" w:cs="宋体"/>
                <w:color w:val="auto"/>
                <w:sz w:val="24"/>
                <w:szCs w:val="24"/>
                <w:highlight w:val="none"/>
                <w:lang w:val="en-US" w:eastAsia="zh-CN" w:bidi="ar-SA"/>
              </w:rPr>
            </w:pPr>
          </w:p>
        </w:tc>
        <w:tc>
          <w:tcPr>
            <w:tcW w:w="633" w:type="dxa"/>
            <w:noWrap w:val="0"/>
            <w:vAlign w:val="center"/>
          </w:tcPr>
          <w:p w14:paraId="49377322">
            <w:pPr>
              <w:widowControl w:val="0"/>
              <w:spacing w:line="400" w:lineRule="exact"/>
              <w:jc w:val="center"/>
              <w:rPr>
                <w:rFonts w:hint="eastAsia" w:ascii="宋体" w:hAnsi="宋体" w:eastAsia="宋体" w:cs="宋体"/>
                <w:color w:val="auto"/>
                <w:kern w:val="0"/>
                <w:sz w:val="24"/>
                <w:szCs w:val="24"/>
                <w:highlight w:val="none"/>
                <w:lang w:val="en-US" w:eastAsia="zh-CN"/>
              </w:rPr>
            </w:pPr>
          </w:p>
          <w:p w14:paraId="459B2497">
            <w:pPr>
              <w:widowControl w:val="0"/>
              <w:spacing w:line="400" w:lineRule="exact"/>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5072" w:type="dxa"/>
            <w:noWrap w:val="0"/>
            <w:vAlign w:val="center"/>
          </w:tcPr>
          <w:p w14:paraId="143C3FC7">
            <w:pPr>
              <w:widowControl/>
              <w:numPr>
                <w:ilvl w:val="-1"/>
                <w:numId w:val="0"/>
              </w:numPr>
              <w:snapToGrid/>
              <w:spacing w:line="240" w:lineRule="auto"/>
              <w:ind w:left="0" w:leftChars="0" w:firstLine="0" w:firstLineChars="0"/>
              <w:jc w:val="both"/>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2.除项目负责人外其他成员：</w:t>
            </w:r>
          </w:p>
          <w:p w14:paraId="2FBF5A7E">
            <w:pPr>
              <w:widowControl/>
              <w:numPr>
                <w:ilvl w:val="-1"/>
                <w:numId w:val="0"/>
              </w:numPr>
              <w:snapToGrid/>
              <w:spacing w:line="360" w:lineRule="exact"/>
              <w:ind w:left="0" w:lef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为协助采购人进行感统健康档案建立及特殊时期，根据需要增派人手。在原配备人员基础上</w:t>
            </w:r>
            <w:r>
              <w:rPr>
                <w:rFonts w:hint="eastAsia" w:ascii="宋体" w:hAnsi="宋体" w:cs="宋体"/>
                <w:color w:val="auto"/>
                <w:sz w:val="24"/>
                <w:szCs w:val="24"/>
                <w:highlight w:val="none"/>
                <w:lang w:val="en-US" w:eastAsia="zh-CN"/>
              </w:rPr>
              <w:t>每增配1名得2.5分，最高得10分。</w:t>
            </w:r>
          </w:p>
          <w:p w14:paraId="641B413E">
            <w:pPr>
              <w:widowControl/>
              <w:numPr>
                <w:ilvl w:val="-1"/>
                <w:numId w:val="0"/>
              </w:numPr>
              <w:snapToGrid/>
              <w:spacing w:line="360" w:lineRule="exact"/>
              <w:ind w:left="0" w:leftChars="0" w:firstLine="0" w:firstLineChars="0"/>
              <w:jc w:val="left"/>
              <w:rPr>
                <w:rFonts w:hint="eastAsia" w:ascii="宋体" w:hAnsi="宋体" w:cs="宋体"/>
                <w:color w:val="auto"/>
                <w:sz w:val="24"/>
                <w:highlight w:val="none"/>
                <w:lang w:val="en-US" w:eastAsia="zh-CN"/>
              </w:rPr>
            </w:pPr>
          </w:p>
        </w:tc>
        <w:tc>
          <w:tcPr>
            <w:tcW w:w="3097" w:type="dxa"/>
            <w:noWrap w:val="0"/>
            <w:vAlign w:val="center"/>
          </w:tcPr>
          <w:p w14:paraId="29345AC5">
            <w:pPr>
              <w:widowControl/>
              <w:spacing w:line="400" w:lineRule="exact"/>
              <w:ind w:firstLine="0" w:firstLineChars="0"/>
              <w:jc w:val="left"/>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须同时提供：</w:t>
            </w:r>
          </w:p>
          <w:p w14:paraId="6C3419D4">
            <w:pPr>
              <w:widowControl/>
              <w:spacing w:line="400" w:lineRule="exact"/>
              <w:ind w:firstLine="0" w:firstLineChars="0"/>
              <w:jc w:val="left"/>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1.提供康复相关方面技能培训证明材料扫描件</w:t>
            </w:r>
          </w:p>
          <w:p w14:paraId="54B67F83">
            <w:pPr>
              <w:widowControl/>
              <w:spacing w:line="400" w:lineRule="exact"/>
              <w:ind w:firstLine="0" w:firstLineChars="0"/>
              <w:jc w:val="left"/>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为其缴纳的近</w:t>
            </w:r>
            <w:r>
              <w:rPr>
                <w:rFonts w:hint="eastAsia" w:ascii="宋体" w:hAnsi="宋体" w:cs="宋体"/>
                <w:color w:val="auto"/>
                <w:sz w:val="24"/>
                <w:highlight w:val="none"/>
                <w:lang w:val="en-US" w:eastAsia="zh-CN"/>
              </w:rPr>
              <w:t>6个</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2025年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月至</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月连续</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个月</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五险一金证明</w:t>
            </w:r>
            <w:r>
              <w:rPr>
                <w:rFonts w:hint="eastAsia" w:ascii="宋体" w:hAnsi="宋体" w:eastAsia="宋体" w:cs="宋体"/>
                <w:color w:val="auto"/>
                <w:sz w:val="24"/>
                <w:highlight w:val="none"/>
                <w:lang w:val="en-US" w:eastAsia="zh-CN"/>
              </w:rPr>
              <w:t>材料</w:t>
            </w:r>
            <w:r>
              <w:rPr>
                <w:rFonts w:hint="eastAsia" w:ascii="宋体" w:hAnsi="宋体" w:cs="宋体"/>
                <w:color w:val="auto"/>
                <w:sz w:val="24"/>
                <w:highlight w:val="none"/>
                <w:lang w:val="en-US" w:eastAsia="zh-CN"/>
              </w:rPr>
              <w:t>扫描</w:t>
            </w:r>
            <w:r>
              <w:rPr>
                <w:rFonts w:hint="eastAsia" w:ascii="宋体" w:hAnsi="宋体" w:eastAsia="宋体" w:cs="宋体"/>
                <w:color w:val="auto"/>
                <w:sz w:val="24"/>
                <w:highlight w:val="none"/>
              </w:rPr>
              <w:t>件</w:t>
            </w:r>
            <w:r>
              <w:rPr>
                <w:rFonts w:hint="eastAsia" w:ascii="宋体" w:hAnsi="宋体" w:cs="宋体"/>
                <w:color w:val="auto"/>
                <w:sz w:val="24"/>
                <w:highlight w:val="none"/>
                <w:lang w:val="en-US" w:eastAsia="zh-CN"/>
              </w:rPr>
              <w:t>或者供应商与成员签订的劳动合同扫描件</w:t>
            </w:r>
            <w:r>
              <w:rPr>
                <w:rFonts w:hint="eastAsia" w:ascii="宋体" w:hAnsi="宋体" w:eastAsia="宋体" w:cs="宋体"/>
                <w:color w:val="auto"/>
                <w:sz w:val="24"/>
                <w:highlight w:val="none"/>
              </w:rPr>
              <w:t>。</w:t>
            </w:r>
          </w:p>
          <w:p w14:paraId="7AE3FB80">
            <w:pPr>
              <w:widowControl/>
              <w:spacing w:line="400" w:lineRule="exact"/>
              <w:ind w:firstLine="0" w:firstLineChars="0"/>
              <w:jc w:val="left"/>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未提供上述材料或材料有缺漏或不符合要求的</w:t>
            </w:r>
            <w:r>
              <w:rPr>
                <w:rFonts w:hint="eastAsia" w:ascii="宋体" w:hAnsi="宋体" w:eastAsia="宋体" w:cs="宋体"/>
                <w:color w:val="auto"/>
                <w:sz w:val="24"/>
                <w:highlight w:val="none"/>
              </w:rPr>
              <w:t>不得分</w:t>
            </w:r>
            <w:r>
              <w:rPr>
                <w:rFonts w:hint="eastAsia" w:ascii="宋体" w:hAnsi="宋体" w:cs="宋体"/>
                <w:color w:val="auto"/>
                <w:sz w:val="24"/>
                <w:highlight w:val="none"/>
                <w:lang w:eastAsia="zh-CN"/>
              </w:rPr>
              <w:t>。</w:t>
            </w:r>
          </w:p>
        </w:tc>
      </w:tr>
      <w:tr w14:paraId="1B6E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659" w:type="dxa"/>
            <w:noWrap w:val="0"/>
            <w:vAlign w:val="center"/>
          </w:tcPr>
          <w:p w14:paraId="25038EC7">
            <w:pPr>
              <w:widowControl w:val="0"/>
              <w:shd w:val="clear" w:color="auto" w:fill="auto"/>
              <w:spacing w:line="400" w:lineRule="exact"/>
              <w:ind w:firstLine="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3.3</w:t>
            </w:r>
          </w:p>
        </w:tc>
        <w:tc>
          <w:tcPr>
            <w:tcW w:w="1039" w:type="dxa"/>
            <w:noWrap w:val="0"/>
            <w:vAlign w:val="center"/>
          </w:tcPr>
          <w:p w14:paraId="25E7B788">
            <w:pPr>
              <w:widowControl w:val="0"/>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业绩</w:t>
            </w:r>
          </w:p>
        </w:tc>
        <w:tc>
          <w:tcPr>
            <w:tcW w:w="633" w:type="dxa"/>
            <w:noWrap w:val="0"/>
            <w:vAlign w:val="center"/>
          </w:tcPr>
          <w:p w14:paraId="0DF451BB">
            <w:pPr>
              <w:widowControl w:val="0"/>
              <w:spacing w:line="400" w:lineRule="exact"/>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5072" w:type="dxa"/>
            <w:noWrap w:val="0"/>
            <w:vAlign w:val="center"/>
          </w:tcPr>
          <w:p w14:paraId="782282B0">
            <w:pPr>
              <w:widowControl/>
              <w:numPr>
                <w:ilvl w:val="-1"/>
                <w:numId w:val="0"/>
              </w:numPr>
              <w:snapToGrid/>
              <w:spacing w:line="360" w:lineRule="exact"/>
              <w:ind w:left="0" w:leftChars="0" w:firstLine="0" w:firstLineChars="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自202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01</w:t>
            </w:r>
            <w:r>
              <w:rPr>
                <w:rFonts w:hint="eastAsia" w:ascii="宋体" w:hAnsi="宋体" w:cs="宋体"/>
                <w:color w:val="auto"/>
                <w:sz w:val="24"/>
                <w:highlight w:val="none"/>
              </w:rPr>
              <w:t>日至本项目</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公告发布之日止（时间以合同签订时间为准），承担过与本项目类似</w:t>
            </w:r>
            <w:r>
              <w:rPr>
                <w:rFonts w:hint="eastAsia" w:ascii="宋体" w:hAnsi="宋体" w:cs="宋体"/>
                <w:color w:val="auto"/>
                <w:sz w:val="24"/>
                <w:highlight w:val="none"/>
                <w:lang w:eastAsia="zh-CN"/>
              </w:rPr>
              <w:t>感统训练</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业绩的，</w:t>
            </w:r>
            <w:r>
              <w:rPr>
                <w:rFonts w:hint="eastAsia" w:ascii="宋体" w:hAnsi="宋体" w:cs="宋体"/>
                <w:color w:val="auto"/>
                <w:sz w:val="24"/>
                <w:highlight w:val="none"/>
                <w:lang w:val="en-US" w:eastAsia="zh-CN"/>
              </w:rPr>
              <w:t>有1份</w:t>
            </w:r>
            <w:r>
              <w:rPr>
                <w:rFonts w:hint="eastAsia" w:ascii="宋体" w:hAnsi="宋体" w:cs="宋体"/>
                <w:color w:val="auto"/>
                <w:sz w:val="24"/>
                <w:highlight w:val="none"/>
                <w:lang w:eastAsia="zh-CN"/>
              </w:rPr>
              <w:t>，</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分，本项最</w:t>
            </w:r>
            <w:r>
              <w:rPr>
                <w:rFonts w:hint="eastAsia" w:ascii="宋体" w:hAnsi="宋体" w:cs="宋体"/>
                <w:color w:val="auto"/>
                <w:sz w:val="24"/>
                <w:highlight w:val="none"/>
                <w:lang w:val="en-US" w:eastAsia="zh-CN"/>
              </w:rPr>
              <w:t>高</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c>
          <w:tcPr>
            <w:tcW w:w="3097" w:type="dxa"/>
            <w:noWrap w:val="0"/>
            <w:vAlign w:val="center"/>
          </w:tcPr>
          <w:p w14:paraId="2918E8BD">
            <w:pPr>
              <w:widowControl w:val="0"/>
              <w:spacing w:line="400" w:lineRule="exact"/>
              <w:ind w:firstLine="0" w:firstLineChars="0"/>
              <w:jc w:val="left"/>
              <w:outlineLvl w:val="9"/>
              <w:rPr>
                <w:rFonts w:hint="eastAsia" w:ascii="宋体" w:hAnsi="宋体" w:eastAsia="宋体" w:cs="宋体"/>
                <w:color w:val="auto"/>
                <w:sz w:val="24"/>
                <w:highlight w:val="none"/>
              </w:rPr>
            </w:pPr>
            <w:r>
              <w:rPr>
                <w:rFonts w:hint="eastAsia" w:ascii="宋体" w:hAnsi="宋体" w:cs="宋体"/>
                <w:b w:val="0"/>
                <w:bCs w:val="0"/>
                <w:color w:val="auto"/>
                <w:sz w:val="24"/>
                <w:highlight w:val="none"/>
              </w:rPr>
              <w:t>需要</w:t>
            </w:r>
            <w:r>
              <w:rPr>
                <w:rFonts w:hint="eastAsia" w:ascii="宋体" w:hAnsi="宋体" w:cs="宋体"/>
                <w:b w:val="0"/>
                <w:bCs w:val="0"/>
                <w:color w:val="auto"/>
                <w:sz w:val="24"/>
                <w:highlight w:val="none"/>
                <w:lang w:val="en-US" w:eastAsia="zh-CN"/>
              </w:rPr>
              <w:t>同时</w:t>
            </w:r>
            <w:r>
              <w:rPr>
                <w:rFonts w:hint="eastAsia" w:ascii="宋体" w:hAnsi="宋体" w:cs="宋体"/>
                <w:b w:val="0"/>
                <w:bCs w:val="0"/>
                <w:color w:val="auto"/>
                <w:sz w:val="24"/>
                <w:highlight w:val="none"/>
              </w:rPr>
              <w:t>提供有效业绩合同</w:t>
            </w:r>
            <w:r>
              <w:rPr>
                <w:rFonts w:hint="eastAsia" w:ascii="宋体" w:hAnsi="宋体" w:cs="宋体"/>
                <w:b w:val="0"/>
                <w:bCs w:val="0"/>
                <w:color w:val="auto"/>
                <w:sz w:val="24"/>
                <w:highlight w:val="none"/>
                <w:lang w:eastAsia="zh-CN"/>
              </w:rPr>
              <w:t>扫</w:t>
            </w:r>
            <w:r>
              <w:rPr>
                <w:rFonts w:hint="eastAsia" w:ascii="宋体" w:hAnsi="宋体" w:cs="宋体"/>
                <w:b w:val="0"/>
                <w:bCs w:val="0"/>
                <w:color w:val="auto"/>
                <w:sz w:val="24"/>
                <w:highlight w:val="none"/>
              </w:rPr>
              <w:t>描件</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中标（成交）通知书，两项材料缺一不可，</w:t>
            </w:r>
            <w:r>
              <w:rPr>
                <w:rFonts w:hint="eastAsia" w:ascii="宋体" w:hAnsi="宋体" w:cs="宋体"/>
                <w:b w:val="0"/>
                <w:bCs w:val="0"/>
                <w:color w:val="auto"/>
                <w:sz w:val="24"/>
                <w:highlight w:val="none"/>
              </w:rPr>
              <w:t>合同扫描件至少包括合同的甲乙双方</w:t>
            </w:r>
            <w:r>
              <w:rPr>
                <w:rFonts w:hint="eastAsia" w:ascii="宋体" w:hAnsi="宋体" w:cs="宋体"/>
                <w:b w:val="0"/>
                <w:bCs w:val="0"/>
                <w:color w:val="auto"/>
                <w:sz w:val="24"/>
                <w:highlight w:val="none"/>
                <w:lang w:val="en-US" w:eastAsia="zh-CN"/>
              </w:rPr>
              <w:t>和采购</w:t>
            </w:r>
            <w:r>
              <w:rPr>
                <w:rFonts w:hint="eastAsia" w:ascii="宋体" w:hAnsi="宋体" w:cs="宋体"/>
                <w:b w:val="0"/>
                <w:bCs w:val="0"/>
                <w:color w:val="auto"/>
                <w:sz w:val="24"/>
                <w:highlight w:val="none"/>
              </w:rPr>
              <w:t>内容</w:t>
            </w:r>
            <w:r>
              <w:rPr>
                <w:rFonts w:hint="eastAsia" w:ascii="宋体" w:hAnsi="宋体" w:cs="宋体"/>
                <w:b w:val="0"/>
                <w:bCs w:val="0"/>
                <w:color w:val="auto"/>
                <w:sz w:val="24"/>
                <w:highlight w:val="none"/>
                <w:lang w:val="en-US" w:eastAsia="zh-CN"/>
              </w:rPr>
              <w:t>和</w:t>
            </w:r>
            <w:r>
              <w:rPr>
                <w:rFonts w:hint="eastAsia" w:ascii="宋体" w:hAnsi="宋体" w:cs="宋体"/>
                <w:b w:val="0"/>
                <w:bCs w:val="0"/>
                <w:color w:val="auto"/>
                <w:sz w:val="24"/>
                <w:highlight w:val="none"/>
              </w:rPr>
              <w:t>双方</w:t>
            </w:r>
            <w:r>
              <w:rPr>
                <w:rFonts w:hint="eastAsia" w:ascii="宋体" w:hAnsi="宋体" w:cs="宋体"/>
                <w:b w:val="0"/>
                <w:bCs w:val="0"/>
                <w:color w:val="auto"/>
                <w:sz w:val="24"/>
                <w:highlight w:val="none"/>
                <w:lang w:val="en-US" w:eastAsia="zh-CN"/>
              </w:rPr>
              <w:t>盖章</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供应商</w:t>
            </w:r>
            <w:r>
              <w:rPr>
                <w:rFonts w:hint="eastAsia" w:ascii="宋体" w:hAnsi="宋体" w:cs="宋体"/>
                <w:b w:val="0"/>
                <w:bCs w:val="0"/>
                <w:color w:val="auto"/>
                <w:sz w:val="24"/>
                <w:highlight w:val="none"/>
              </w:rPr>
              <w:t>对真实性负责</w:t>
            </w:r>
            <w:r>
              <w:rPr>
                <w:rFonts w:hint="eastAsia" w:ascii="宋体" w:hAnsi="宋体" w:cs="宋体"/>
                <w:b w:val="0"/>
                <w:bCs w:val="0"/>
                <w:color w:val="auto"/>
                <w:sz w:val="24"/>
                <w:highlight w:val="none"/>
                <w:lang w:eastAsia="zh-CN"/>
              </w:rPr>
              <w:t>。</w:t>
            </w:r>
          </w:p>
        </w:tc>
      </w:tr>
      <w:tr w14:paraId="1936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98" w:type="dxa"/>
            <w:gridSpan w:val="2"/>
            <w:noWrap w:val="0"/>
            <w:vAlign w:val="center"/>
          </w:tcPr>
          <w:p w14:paraId="0FFACD92">
            <w:pPr>
              <w:shd w:val="clear" w:color="auto" w:fill="auto"/>
              <w:spacing w:line="400" w:lineRule="exact"/>
              <w:ind w:firstLine="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633" w:type="dxa"/>
            <w:noWrap w:val="0"/>
            <w:vAlign w:val="center"/>
          </w:tcPr>
          <w:p w14:paraId="4785F2C0">
            <w:pPr>
              <w:shd w:val="clear" w:color="auto" w:fill="auto"/>
              <w:spacing w:line="400" w:lineRule="exact"/>
              <w:ind w:firstLine="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c>
          <w:tcPr>
            <w:tcW w:w="8169" w:type="dxa"/>
            <w:gridSpan w:val="2"/>
            <w:noWrap w:val="0"/>
            <w:vAlign w:val="center"/>
          </w:tcPr>
          <w:p w14:paraId="5B52ADC4">
            <w:pPr>
              <w:shd w:val="clear" w:color="auto" w:fill="auto"/>
              <w:spacing w:line="400" w:lineRule="exact"/>
              <w:jc w:val="left"/>
              <w:rPr>
                <w:rFonts w:hint="eastAsia" w:ascii="宋体" w:hAnsi="宋体" w:eastAsia="宋体" w:cs="宋体"/>
                <w:color w:val="auto"/>
                <w:sz w:val="24"/>
                <w:highlight w:val="none"/>
              </w:rPr>
            </w:pPr>
          </w:p>
        </w:tc>
      </w:tr>
    </w:tbl>
    <w:p w14:paraId="0350FEAD">
      <w:pPr>
        <w:spacing w:line="360" w:lineRule="auto"/>
        <w:jc w:val="left"/>
        <w:outlineLvl w:val="0"/>
        <w:rPr>
          <w:rFonts w:ascii="宋体" w:hAnsi="宋体" w:cs="宋体"/>
          <w:b/>
          <w:color w:val="auto"/>
          <w:sz w:val="24"/>
          <w:highlight w:val="none"/>
        </w:rPr>
      </w:pPr>
      <w:r>
        <w:rPr>
          <w:rFonts w:hint="eastAsia" w:ascii="宋体" w:hAnsi="宋体" w:cs="宋体"/>
          <w:b/>
          <w:color w:val="auto"/>
          <w:sz w:val="24"/>
          <w:highlight w:val="none"/>
        </w:rPr>
        <w:t>注：</w:t>
      </w:r>
      <w:bookmarkEnd w:id="553"/>
    </w:p>
    <w:p w14:paraId="7DE511BF">
      <w:pPr>
        <w:spacing w:line="360" w:lineRule="auto"/>
        <w:jc w:val="left"/>
        <w:outlineLvl w:val="0"/>
        <w:rPr>
          <w:rFonts w:ascii="宋体" w:hAnsi="宋体" w:cs="宋体"/>
          <w:b/>
          <w:color w:val="auto"/>
          <w:sz w:val="24"/>
          <w:highlight w:val="none"/>
        </w:rPr>
      </w:pPr>
      <w:bookmarkStart w:id="554" w:name="_Toc19224"/>
      <w:r>
        <w:rPr>
          <w:rFonts w:hint="eastAsia" w:ascii="宋体" w:hAnsi="宋体" w:cs="宋体"/>
          <w:b/>
          <w:color w:val="auto"/>
          <w:sz w:val="24"/>
          <w:highlight w:val="none"/>
        </w:rPr>
        <w:t>1.未能按以上要求提供相应证明的，不作为评审依据，不得分。</w:t>
      </w:r>
      <w:bookmarkEnd w:id="554"/>
    </w:p>
    <w:p w14:paraId="19EA7CFD">
      <w:pPr>
        <w:spacing w:line="360" w:lineRule="auto"/>
        <w:ind w:left="-38"/>
        <w:rPr>
          <w:rFonts w:ascii="宋体" w:hAnsi="宋体" w:cs="宋体"/>
          <w:b/>
          <w:color w:val="auto"/>
          <w:sz w:val="24"/>
          <w:highlight w:val="none"/>
        </w:rPr>
      </w:pPr>
      <w:r>
        <w:rPr>
          <w:rFonts w:hint="eastAsia" w:ascii="宋体" w:hAnsi="宋体" w:cs="宋体"/>
          <w:b/>
          <w:color w:val="auto"/>
          <w:sz w:val="24"/>
          <w:highlight w:val="none"/>
        </w:rPr>
        <w:t>2.评分标准中要求提供的证明文件及资料通过“政府采购一体化平台“苏采云”按对应评分项目（或数字编号）分别制作上传，必须保证内容具体、印章完整、清晰可辨。未按以上要求制作上传的，经评审小组半数以上认定后作不得分处理。</w:t>
      </w:r>
    </w:p>
    <w:p w14:paraId="6BA4C8C9">
      <w:pPr>
        <w:spacing w:line="360" w:lineRule="auto"/>
        <w:jc w:val="center"/>
        <w:outlineLvl w:val="0"/>
        <w:rPr>
          <w:b/>
          <w:color w:val="auto"/>
          <w:sz w:val="36"/>
          <w:szCs w:val="36"/>
          <w:highlight w:val="none"/>
        </w:rPr>
      </w:pPr>
      <w:bookmarkStart w:id="555" w:name="_Toc7049"/>
      <w:r>
        <w:rPr>
          <w:rFonts w:hint="eastAsia"/>
          <w:b/>
          <w:color w:val="auto"/>
          <w:sz w:val="36"/>
          <w:szCs w:val="36"/>
          <w:highlight w:val="none"/>
        </w:rPr>
        <w:br w:type="page" w:clear="all"/>
      </w:r>
      <w:bookmarkStart w:id="556" w:name="_Toc14920"/>
      <w:r>
        <w:rPr>
          <w:rFonts w:hint="eastAsia"/>
          <w:b/>
          <w:color w:val="auto"/>
          <w:sz w:val="36"/>
          <w:szCs w:val="36"/>
          <w:highlight w:val="none"/>
        </w:rPr>
        <w:t xml:space="preserve">第四章 </w:t>
      </w:r>
      <w:r>
        <w:rPr>
          <w:b/>
          <w:color w:val="auto"/>
          <w:sz w:val="36"/>
          <w:szCs w:val="36"/>
          <w:highlight w:val="none"/>
        </w:rPr>
        <w:t xml:space="preserve">  采购需求</w:t>
      </w:r>
      <w:bookmarkEnd w:id="555"/>
      <w:bookmarkEnd w:id="556"/>
    </w:p>
    <w:p w14:paraId="74646877">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bookmarkStart w:id="557" w:name="_Toc7106"/>
      <w:bookmarkStart w:id="558" w:name="_Toc104818930"/>
      <w:r>
        <w:rPr>
          <w:rFonts w:hint="eastAsia" w:ascii="宋体" w:hAnsi="宋体" w:eastAsia="宋体" w:cs="宋体"/>
          <w:b/>
          <w:bCs/>
          <w:color w:val="auto"/>
          <w:sz w:val="24"/>
          <w:szCs w:val="24"/>
          <w:highlight w:val="none"/>
          <w:lang w:val="en-US" w:eastAsia="zh-CN"/>
        </w:rPr>
        <w:t>一、项目基本情况</w:t>
      </w:r>
    </w:p>
    <w:p w14:paraId="78C4CF97">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本项目是常州市武进区妇幼保健计划生育服务中心儿童早期干预人才引进项目。为切实加强武进区0-6岁儿童身心健康发展工作，双方合作建设运营儿童早期干预发展项目，采购人负责儿童早期发展项目的管理和实施,供应商提供专业技术服务,双方整合资源,优势互补，实行联合运营，提升服务能力。</w:t>
      </w:r>
    </w:p>
    <w:p w14:paraId="638AFF1C">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二、采购内容及要求</w:t>
      </w:r>
    </w:p>
    <w:p w14:paraId="4DD6F965">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本项目建设目标为:一、建设感统训练室、多感官训练教室、语言和思维认知教室，实现筛查、转诊、检査、康复、复查一站式服务;接收武进区基层医疗机构开展体检服务的初筛异常儿童，开展专项检查并登记儿童早期干预档案。二、为武进辖区内幼儿园在园儿童开展免费儿童早期项目筛查、能力评估、健康指导。</w:t>
      </w:r>
    </w:p>
    <w:p w14:paraId="1B91E0FF">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(一)服务项目</w:t>
      </w:r>
    </w:p>
    <w:p w14:paraId="03C48D9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1、对辖区内 0-6岁儿童感统失调筛查。</w:t>
      </w:r>
    </w:p>
    <w:p w14:paraId="35B168F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2、儿童基础运动能力检查，抬头翻身坐爬站走等。</w:t>
      </w:r>
    </w:p>
    <w:p w14:paraId="1BF1982B">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3、好动不安、注意力不集中。</w:t>
      </w:r>
    </w:p>
    <w:p w14:paraId="3C1DA5E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4、看似聪明却胆小不敢表现。</w:t>
      </w:r>
    </w:p>
    <w:p w14:paraId="36FA2F96">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5、容易跌倒或撞到物体。</w:t>
      </w:r>
    </w:p>
    <w:p w14:paraId="64BCDFA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6、笨手笨脚，容易受挫、缺乏自信。</w:t>
      </w:r>
    </w:p>
    <w:p w14:paraId="5F1EA23B">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7、固执、脖气暴躁。</w:t>
      </w:r>
    </w:p>
    <w:p w14:paraId="0C6905C5">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8、粘人、爱哭、性情孤僻。</w:t>
      </w:r>
    </w:p>
    <w:p w14:paraId="405F3C7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9、偏食挑食、饮食习惯不佳。</w:t>
      </w:r>
    </w:p>
    <w:p w14:paraId="00DA9BA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10、自言自语，无法与人沟通。</w:t>
      </w:r>
    </w:p>
    <w:p w14:paraId="3CB1D07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11、孤独症。</w:t>
      </w:r>
    </w:p>
    <w:p w14:paraId="16265128">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0F87E513">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1、日常门诊，周末及节假日根据需要机动调整。</w:t>
      </w:r>
    </w:p>
    <w:p w14:paraId="7B0ED129">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2、儿童及青少年感统失调。</w:t>
      </w:r>
    </w:p>
    <w:p w14:paraId="0C01A30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3、婴幼儿运动发育迟缓的康复。</w:t>
      </w:r>
    </w:p>
    <w:p w14:paraId="54955A3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4、学习困难儿童。</w:t>
      </w:r>
    </w:p>
    <w:p w14:paraId="08CC558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5、门诊预约服务。</w:t>
      </w:r>
    </w:p>
    <w:p w14:paraId="2ECC8A1F">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6、医疗看护、转诊及后续跟进。</w:t>
      </w:r>
    </w:p>
    <w:p w14:paraId="5AA2AF0F">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7、陪诊服务。</w:t>
      </w:r>
    </w:p>
    <w:p w14:paraId="13F08432">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8、感统能力及语言能力的评估工作。</w:t>
      </w:r>
    </w:p>
    <w:p w14:paraId="4C65D0E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9、协助做好儿童早期项目的筛查工作。包含 0-6岁感统失调筛查及档案的建立，建立融合健康教育、监测预警、综合干预、跟踪管理等内容的长效工作机制。</w:t>
      </w:r>
    </w:p>
    <w:p w14:paraId="1F83D52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10、上课器具的规划、日常管理和维护。</w:t>
      </w:r>
    </w:p>
    <w:p w14:paraId="298E795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11、基于执业范围出具儿童早期干预报告。</w:t>
      </w:r>
    </w:p>
    <w:p w14:paraId="6CBA2748">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12、配合政府部门的监督检查工作(台帐的整理及存档)。</w:t>
      </w:r>
    </w:p>
    <w:p w14:paraId="762B7023">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13、医疗文件的翻译。</w:t>
      </w:r>
    </w:p>
    <w:p w14:paraId="4A3CDFD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14、邮件的日常回复。</w:t>
      </w:r>
    </w:p>
    <w:p w14:paraId="2AD1E0E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15、传染病防控、上报、管理、跟踪、信息反馈、隔离、消毒。跟踪诊疗，以及防疫物资储备、管理、发放。</w:t>
      </w:r>
    </w:p>
    <w:p w14:paraId="1E738CC8">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16、建立完善更新健康管理规章制度及操作流程，包括但不限于:</w:t>
      </w:r>
    </w:p>
    <w:p w14:paraId="7FFD4DD2">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(1)规章制度;</w:t>
      </w:r>
    </w:p>
    <w:p w14:paraId="582ED37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(2)治疗室工作制度;</w:t>
      </w:r>
    </w:p>
    <w:p w14:paraId="27E7C64C">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(3)工作职责、医疗及服务行为规范；</w:t>
      </w:r>
    </w:p>
    <w:p w14:paraId="755595D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(4)本地及外地转诊标准；</w:t>
      </w:r>
    </w:p>
    <w:p w14:paraId="2A01BF6D">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(5)传染病防治管理制度;</w:t>
      </w:r>
    </w:p>
    <w:p w14:paraId="0BF736D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(6)消毒隔离制度;</w:t>
      </w:r>
    </w:p>
    <w:p w14:paraId="455AFB7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(7)病假条管理制度;</w:t>
      </w:r>
    </w:p>
    <w:p w14:paraId="5B74E17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(8)建立完整的应急预案。</w:t>
      </w:r>
    </w:p>
    <w:p w14:paraId="285BA12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17、健康管理及促进：</w:t>
      </w:r>
    </w:p>
    <w:p w14:paraId="0335DEB2">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(1)定期开展健康卫生的宣传教育活动;</w:t>
      </w:r>
    </w:p>
    <w:p w14:paraId="39E0D8C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(2)协助常州市武进区妇幼保健计划生育服务中心进行公共卫生事件的防控；</w:t>
      </w:r>
    </w:p>
    <w:p w14:paraId="095A685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(3)每月发布常见病、流行病和疾病预防保健指导。</w:t>
      </w:r>
    </w:p>
    <w:p w14:paraId="26FE667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18、紧急医学救援：</w:t>
      </w:r>
    </w:p>
    <w:p w14:paraId="650A03B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(1)建立医疗健康紧急事件的响应机制(上报时限及流程);</w:t>
      </w:r>
    </w:p>
    <w:p w14:paraId="2C4BF16F">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(2)卫生及医疗事件的危机干预。</w:t>
      </w:r>
    </w:p>
    <w:p w14:paraId="1D4F0246">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19、配合采购人做好其他相关工作任务。</w:t>
      </w:r>
    </w:p>
    <w:p w14:paraId="65C19F3C">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20、如遇其他突发或政策性特殊情况，双方协商解决。</w:t>
      </w:r>
    </w:p>
    <w:p w14:paraId="41F66512">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(三)服务要求</w:t>
      </w:r>
    </w:p>
    <w:p w14:paraId="3A53CF74">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目前采购人设感统教室1间、多功能感官教室1间、语言及思维课教室4间、集体教室2间，生活自理室1间、家长培训室1间。供应商应利用采购人增设的科室和设备，按照规范提供技术服务，做好儿童早期干预项目的筛查和相关诊治工作，确保项目开展科学、规范、有效，并配合做好儿童早期干预项目的培训、宣教、质控等工作。用于儿童早期干预项目的康复相关仪器设备由供应商和采购人共同商量筹措资金，添置具体设备由供应商设计方案并报采购人备案。</w:t>
      </w:r>
    </w:p>
    <w:p w14:paraId="1FF8E8C1">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2、供应商在采购人处按采购人要求设立诊治点，并</w:t>
      </w:r>
      <w:r>
        <w:rPr>
          <w:rFonts w:hint="eastAsia" w:ascii="宋体" w:hAnsi="宋体" w:cs="宋体"/>
          <w:b w:val="0"/>
          <w:color w:val="auto"/>
          <w:sz w:val="24"/>
          <w:szCs w:val="24"/>
          <w:highlight w:val="none"/>
          <w:lang w:val="en-US" w:eastAsia="zh-CN"/>
        </w:rPr>
        <w:t>配备项目负责人1名及至少1名有</w:t>
      </w:r>
      <w:r>
        <w:rPr>
          <w:rFonts w:hint="eastAsia" w:ascii="宋体" w:hAnsi="宋体" w:eastAsia="宋体" w:cs="宋体"/>
          <w:b w:val="0"/>
          <w:color w:val="auto"/>
          <w:sz w:val="24"/>
          <w:szCs w:val="24"/>
          <w:highlight w:val="none"/>
          <w:lang w:val="en-US" w:eastAsia="zh-CN"/>
        </w:rPr>
        <w:t>临床工作经验的</w:t>
      </w:r>
      <w:r>
        <w:rPr>
          <w:rFonts w:hint="eastAsia" w:ascii="宋体" w:hAnsi="宋体" w:cs="宋体"/>
          <w:b w:val="0"/>
          <w:color w:val="auto"/>
          <w:sz w:val="24"/>
          <w:szCs w:val="24"/>
          <w:highlight w:val="none"/>
          <w:lang w:val="en-US" w:eastAsia="zh-CN"/>
        </w:rPr>
        <w:t>康复师</w:t>
      </w:r>
      <w:r>
        <w:rPr>
          <w:rFonts w:hint="eastAsia"/>
          <w:color w:val="auto"/>
          <w:lang w:eastAsia="zh-CN"/>
        </w:rPr>
        <w:t>，</w:t>
      </w:r>
      <w:r>
        <w:rPr>
          <w:rFonts w:hint="eastAsia" w:ascii="宋体" w:hAnsi="宋体" w:eastAsia="宋体" w:cs="宋体"/>
          <w:b w:val="0"/>
          <w:color w:val="auto"/>
          <w:sz w:val="24"/>
          <w:szCs w:val="24"/>
          <w:highlight w:val="none"/>
          <w:lang w:val="en-US" w:eastAsia="zh-CN"/>
        </w:rPr>
        <w:t>按相关规定提供规范诊疗服务。严格考勤制度，特殊时期根据需要增派人手，确保诊疗服务正常有序。节假日根据工作需要安排加班服务。工作人员必须保持电话和手机畅通，能随时处理各类型医疗问题。</w:t>
      </w:r>
    </w:p>
    <w:p w14:paraId="653207FE">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3、供应商对诊疗过程中出现的安全和医疗纠纷承担全部责任。</w:t>
      </w:r>
    </w:p>
    <w:p w14:paraId="7218EB56">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4、严格执行责任，并承担由此带来的一切经济损失。登记备案，并能进行有效的消毒与防范。加强传染病工作的管理与组织。</w:t>
      </w:r>
    </w:p>
    <w:p w14:paraId="412EC44C">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5、供应商对采购人需要有医疗保障时，免费提供应急保障服务和协助采购人做好公共卫生防控工作。</w:t>
      </w:r>
    </w:p>
    <w:p w14:paraId="7330DDD0">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6、供应商每年为服务对象开展健康教育活动或讲座4场次以上。</w:t>
      </w:r>
    </w:p>
    <w:p w14:paraId="147F3EF2">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7、供应商加强安全和服务场所的管理。制度齐全、上墙，室内干净、整洁、温馨，禁止从事与医务不相关的活动。</w:t>
      </w:r>
    </w:p>
    <w:p w14:paraId="7915CBD2">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8、医护人员着装规范，挂牌上岗，文明用语，微笑服务，倾心与病患交流，上班期间不脱岗、不串岗。</w:t>
      </w:r>
    </w:p>
    <w:p w14:paraId="077E9F96">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9、儿童早期干预涉及自费项目的，则按物价部门的规定确定收费标准，并统一由采购人窗口收费并解缴财政专户，禁止供应商工作人员私自收费或转介至供应商自营场所进行收费服务(含以采购人名义在供应商自营场所收治儿童),如违反规定由此引起的一切纠纷、法律责任及产生的经济损失都由供应商承担。所收款项双方按比例分配，收入用于供应商工作人员工资和补贴、专家指导费、设备成本等支出及利润。</w:t>
      </w:r>
    </w:p>
    <w:p w14:paraId="0CA0BB4F">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10、如未能提供合格的技术服务，发生误诊(2次以上)、投诉(2次以上)或其他重大事故(医疗事故等)的；供应商工作人员不服从采购人管理，私自收费或转介至供应商自营场所进行收费服务(2次以上)、不完成培训宣教任务(2次以上)的，采购人有权单方解除合作协议，且不承担赔偿或补偿责任。因供应商原因造成的重大事故，由供应商承担相应的法律责任，并承担由此带来的一切经济损失。</w:t>
      </w:r>
    </w:p>
    <w:p w14:paraId="12A97156">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三、服务期限</w:t>
      </w:r>
    </w:p>
    <w:p w14:paraId="4167635D">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三年，合同一年一签。每年合同期满经采购人考核合格后续签下一年度合同。</w:t>
      </w:r>
    </w:p>
    <w:p w14:paraId="7A42E260">
      <w:pPr>
        <w:numPr>
          <w:ilvl w:val="0"/>
          <w:numId w:val="0"/>
        </w:numPr>
        <w:spacing w:line="360" w:lineRule="auto"/>
        <w:ind w:firstLine="0"/>
        <w:contextualSpacing/>
        <w:jc w:val="left"/>
        <w:outlineLvl w:val="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、付款方式</w:t>
      </w:r>
    </w:p>
    <w:p w14:paraId="7CCC60A6">
      <w:pPr>
        <w:numPr>
          <w:ilvl w:val="0"/>
          <w:numId w:val="0"/>
        </w:numPr>
        <w:spacing w:line="360" w:lineRule="auto"/>
        <w:ind w:firstLine="480" w:firstLineChars="20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每季度服务期满后成交供应商出具正规发票,采购人在收到发票后</w:t>
      </w:r>
      <w:r>
        <w:rPr>
          <w:rFonts w:hint="eastAsia" w:ascii="宋体" w:hAnsi="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val="en-US" w:eastAsia="zh-CN"/>
        </w:rPr>
        <w:t>5个工作日完成付款。</w:t>
      </w:r>
    </w:p>
    <w:p w14:paraId="00A315F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2F797417">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             </w:t>
      </w:r>
    </w:p>
    <w:p w14:paraId="5603BD6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73D1E36">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51D7D4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9601AB3">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5EFB50B0">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2997435">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5016D7B7">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C10E637">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7DDA3DC8">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66E8F3C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2B86520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AB95FB9">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1DAD000E">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18A0CC31">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FDB75EC">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AC7834A">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FA657F5">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2EBD3E16">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37AD609C">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1D510E6B">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03A77D04">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6B304587">
      <w:pPr>
        <w:numPr>
          <w:ilvl w:val="0"/>
          <w:numId w:val="0"/>
        </w:numPr>
        <w:spacing w:line="360" w:lineRule="auto"/>
        <w:ind w:firstLine="0"/>
        <w:contextualSpacing/>
        <w:jc w:val="left"/>
        <w:outlineLvl w:val="0"/>
        <w:rPr>
          <w:rFonts w:hint="eastAsia" w:ascii="宋体" w:hAnsi="宋体" w:eastAsia="宋体" w:cs="宋体"/>
          <w:b w:val="0"/>
          <w:color w:val="auto"/>
          <w:sz w:val="24"/>
          <w:szCs w:val="24"/>
          <w:highlight w:val="none"/>
          <w:lang w:val="en-US" w:eastAsia="zh-CN"/>
        </w:rPr>
      </w:pPr>
    </w:p>
    <w:p w14:paraId="4D9DF0D5">
      <w:pPr>
        <w:numPr>
          <w:ilvl w:val="0"/>
          <w:numId w:val="0"/>
        </w:numPr>
        <w:spacing w:line="360" w:lineRule="auto"/>
        <w:ind w:firstLine="0"/>
        <w:contextualSpacing/>
        <w:jc w:val="center"/>
        <w:outlineLvl w:val="0"/>
        <w:rPr>
          <w:rFonts w:hint="eastAsia" w:ascii="宋体" w:hAnsi="宋体" w:eastAsia="宋体" w:cs="宋体"/>
          <w:color w:val="auto"/>
          <w:sz w:val="24"/>
          <w:szCs w:val="24"/>
          <w:highlight w:val="none"/>
          <w:lang w:val="zh-CN"/>
        </w:rPr>
      </w:pPr>
      <w:r>
        <w:rPr>
          <w:rFonts w:hint="eastAsia" w:ascii="宋体" w:hAnsi="宋体" w:eastAsia="宋体" w:cs="宋体"/>
          <w:b/>
          <w:color w:val="auto"/>
          <w:sz w:val="36"/>
          <w:szCs w:val="36"/>
          <w:highlight w:val="none"/>
        </w:rPr>
        <w:t>第五章   合同草案条款</w:t>
      </w:r>
    </w:p>
    <w:p w14:paraId="095D5D29">
      <w:pPr>
        <w:pStyle w:val="20"/>
        <w:spacing w:line="440" w:lineRule="exact"/>
        <w:ind w:firstLine="241"/>
        <w:rPr>
          <w:rFonts w:cs="宋体"/>
          <w:color w:val="auto"/>
          <w:sz w:val="24"/>
          <w:szCs w:val="24"/>
          <w:highlight w:val="none"/>
        </w:rPr>
      </w:pPr>
      <w:r>
        <w:rPr>
          <w:rFonts w:hint="eastAsia" w:cs="宋体"/>
          <w:b/>
          <w:color w:val="auto"/>
          <w:sz w:val="24"/>
          <w:szCs w:val="24"/>
          <w:highlight w:val="none"/>
          <w:lang w:val="en-US" w:eastAsia="zh-CN"/>
        </w:rPr>
        <w:t>采购人</w:t>
      </w:r>
      <w:r>
        <w:rPr>
          <w:rFonts w:cs="宋体"/>
          <w:b/>
          <w:color w:val="auto"/>
          <w:sz w:val="24"/>
          <w:szCs w:val="24"/>
          <w:highlight w:val="none"/>
          <w:lang w:val="zh-CN"/>
        </w:rPr>
        <w:t>（</w:t>
      </w:r>
      <w:r>
        <w:rPr>
          <w:rFonts w:hint="eastAsia" w:cs="宋体"/>
          <w:b/>
          <w:color w:val="auto"/>
          <w:sz w:val="24"/>
          <w:szCs w:val="24"/>
          <w:highlight w:val="none"/>
          <w:lang w:val="zh-CN"/>
        </w:rPr>
        <w:t>以下</w:t>
      </w:r>
      <w:r>
        <w:rPr>
          <w:rFonts w:cs="宋体"/>
          <w:b/>
          <w:color w:val="auto"/>
          <w:sz w:val="24"/>
          <w:szCs w:val="24"/>
          <w:highlight w:val="none"/>
          <w:lang w:val="zh-CN"/>
        </w:rPr>
        <w:t>称</w:t>
      </w:r>
      <w:r>
        <w:rPr>
          <w:rFonts w:hint="eastAsia" w:cs="宋体"/>
          <w:b/>
          <w:color w:val="auto"/>
          <w:sz w:val="24"/>
          <w:szCs w:val="24"/>
          <w:highlight w:val="none"/>
          <w:lang w:val="zh-CN"/>
        </w:rPr>
        <w:t>甲</w:t>
      </w:r>
      <w:r>
        <w:rPr>
          <w:rFonts w:hint="eastAsia" w:cs="宋体"/>
          <w:b/>
          <w:color w:val="auto"/>
          <w:sz w:val="24"/>
          <w:szCs w:val="24"/>
          <w:highlight w:val="none"/>
        </w:rPr>
        <w:t xml:space="preserve">方）: </w:t>
      </w:r>
      <w:r>
        <w:rPr>
          <w:rFonts w:cs="宋体"/>
          <w:b/>
          <w:color w:val="auto"/>
          <w:sz w:val="24"/>
          <w:szCs w:val="24"/>
          <w:highlight w:val="none"/>
        </w:rPr>
        <w:t xml:space="preserve">                      </w:t>
      </w:r>
      <w:r>
        <w:rPr>
          <w:rFonts w:hint="eastAsia" w:cs="宋体"/>
          <w:color w:val="auto"/>
          <w:sz w:val="24"/>
          <w:szCs w:val="24"/>
          <w:highlight w:val="none"/>
        </w:rPr>
        <w:t>合同编号：</w:t>
      </w:r>
    </w:p>
    <w:p w14:paraId="7A7C11BE">
      <w:pPr>
        <w:pStyle w:val="20"/>
        <w:spacing w:line="440" w:lineRule="exact"/>
        <w:ind w:firstLine="241"/>
        <w:rPr>
          <w:rFonts w:cs="宋体"/>
          <w:color w:val="auto"/>
          <w:sz w:val="24"/>
          <w:szCs w:val="24"/>
          <w:highlight w:val="none"/>
          <w:u w:val="single"/>
        </w:rPr>
      </w:pPr>
      <w:r>
        <w:rPr>
          <w:rFonts w:hint="eastAsia" w:cs="宋体"/>
          <w:b/>
          <w:color w:val="auto"/>
          <w:sz w:val="24"/>
          <w:szCs w:val="24"/>
          <w:highlight w:val="none"/>
        </w:rPr>
        <w:t>供应商</w:t>
      </w:r>
      <w:r>
        <w:rPr>
          <w:rFonts w:cs="宋体"/>
          <w:b/>
          <w:color w:val="auto"/>
          <w:sz w:val="24"/>
          <w:szCs w:val="24"/>
          <w:highlight w:val="none"/>
        </w:rPr>
        <w:t>（</w:t>
      </w:r>
      <w:r>
        <w:rPr>
          <w:rFonts w:hint="eastAsia" w:cs="宋体"/>
          <w:b/>
          <w:color w:val="auto"/>
          <w:sz w:val="24"/>
          <w:szCs w:val="24"/>
          <w:highlight w:val="none"/>
          <w:lang w:val="zh-CN"/>
        </w:rPr>
        <w:t>以下</w:t>
      </w:r>
      <w:r>
        <w:rPr>
          <w:rFonts w:cs="宋体"/>
          <w:b/>
          <w:color w:val="auto"/>
          <w:sz w:val="24"/>
          <w:szCs w:val="24"/>
          <w:highlight w:val="none"/>
          <w:lang w:val="zh-CN"/>
        </w:rPr>
        <w:t>称</w:t>
      </w:r>
      <w:r>
        <w:rPr>
          <w:rFonts w:hint="eastAsia" w:cs="宋体"/>
          <w:b/>
          <w:color w:val="auto"/>
          <w:sz w:val="24"/>
          <w:szCs w:val="24"/>
          <w:highlight w:val="none"/>
        </w:rPr>
        <w:t>乙方</w:t>
      </w:r>
      <w:r>
        <w:rPr>
          <w:rFonts w:cs="宋体"/>
          <w:b/>
          <w:color w:val="auto"/>
          <w:sz w:val="24"/>
          <w:szCs w:val="24"/>
          <w:highlight w:val="none"/>
        </w:rPr>
        <w:t>）</w:t>
      </w:r>
      <w:r>
        <w:rPr>
          <w:rFonts w:hint="eastAsia" w:cs="宋体"/>
          <w:b/>
          <w:color w:val="auto"/>
          <w:sz w:val="24"/>
          <w:szCs w:val="24"/>
          <w:highlight w:val="none"/>
        </w:rPr>
        <w:t xml:space="preserve">: </w:t>
      </w:r>
      <w:r>
        <w:rPr>
          <w:rFonts w:cs="宋体"/>
          <w:b/>
          <w:color w:val="auto"/>
          <w:sz w:val="24"/>
          <w:szCs w:val="24"/>
          <w:highlight w:val="none"/>
        </w:rPr>
        <w:t xml:space="preserve">                      </w:t>
      </w:r>
      <w:r>
        <w:rPr>
          <w:rFonts w:hint="eastAsia" w:cs="宋体"/>
          <w:color w:val="auto"/>
          <w:sz w:val="24"/>
          <w:szCs w:val="24"/>
          <w:highlight w:val="none"/>
        </w:rPr>
        <w:t>签订地点：</w:t>
      </w:r>
    </w:p>
    <w:p w14:paraId="2C1FFA45">
      <w:pPr>
        <w:pStyle w:val="13"/>
        <w:spacing w:line="440" w:lineRule="exact"/>
        <w:ind w:firstLine="5520"/>
        <w:rPr>
          <w:rFonts w:hint="eastAsia" w:cs="宋体"/>
          <w:color w:val="auto"/>
          <w:sz w:val="24"/>
          <w:szCs w:val="24"/>
          <w:highlight w:val="none"/>
          <w:u w:val="single"/>
        </w:rPr>
      </w:pPr>
      <w:r>
        <w:rPr>
          <w:rFonts w:hint="eastAsia" w:cs="宋体"/>
          <w:color w:val="auto"/>
          <w:sz w:val="24"/>
          <w:szCs w:val="24"/>
          <w:highlight w:val="none"/>
        </w:rPr>
        <w:t xml:space="preserve">合同时间: </w:t>
      </w:r>
      <w:r>
        <w:rPr>
          <w:rFonts w:hint="eastAsia" w:cs="宋体"/>
          <w:color w:val="auto"/>
          <w:sz w:val="24"/>
          <w:szCs w:val="24"/>
          <w:highlight w:val="none"/>
          <w:u w:val="single"/>
        </w:rPr>
        <w:t xml:space="preserve">    年   月   日</w:t>
      </w:r>
    </w:p>
    <w:p w14:paraId="20140CB8">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甲乙双方依据《中华人民共和国民法典》以及有关法律、法规的规定，经协商一致，订立本合同，以便共同遵守。</w:t>
      </w:r>
    </w:p>
    <w:p w14:paraId="3C38A132">
      <w:pPr>
        <w:pStyle w:val="20"/>
        <w:spacing w:line="440" w:lineRule="exact"/>
        <w:ind w:firstLine="487" w:firstLineChars="202"/>
        <w:rPr>
          <w:rFonts w:eastAsia="宋体" w:cs="宋体"/>
          <w:b/>
          <w:color w:val="auto"/>
          <w:sz w:val="24"/>
          <w:szCs w:val="24"/>
        </w:rPr>
      </w:pPr>
      <w:r>
        <w:rPr>
          <w:rFonts w:hint="eastAsia" w:eastAsia="宋体" w:cs="宋体"/>
          <w:b/>
          <w:color w:val="auto"/>
          <w:sz w:val="24"/>
          <w:szCs w:val="24"/>
        </w:rPr>
        <w:t>第一条 合同标的</w:t>
      </w:r>
    </w:p>
    <w:p w14:paraId="638CD766">
      <w:pPr>
        <w:widowControl/>
        <w:adjustRightInd w:val="0"/>
        <w:spacing w:line="440" w:lineRule="exact"/>
        <w:ind w:firstLine="484" w:firstLineChars="202"/>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乙方根据甲方需求提供下列服务：         ，</w:t>
      </w:r>
      <w:r>
        <w:rPr>
          <w:rFonts w:hint="eastAsia" w:ascii="宋体" w:hAnsi="宋体" w:cs="宋体"/>
          <w:color w:val="auto"/>
          <w:sz w:val="24"/>
          <w:szCs w:val="24"/>
        </w:rPr>
        <w:t>系指根据合同规定乙方须承担与服务有关的所有辅助服务</w:t>
      </w:r>
      <w:r>
        <w:rPr>
          <w:rFonts w:hint="eastAsia" w:ascii="宋体" w:hAnsi="宋体" w:cs="宋体"/>
          <w:color w:val="auto"/>
          <w:kern w:val="0"/>
          <w:sz w:val="24"/>
          <w:szCs w:val="24"/>
          <w:lang w:val="zh-CN"/>
        </w:rPr>
        <w:t>。</w:t>
      </w:r>
    </w:p>
    <w:p w14:paraId="2D3054E6">
      <w:pPr>
        <w:pStyle w:val="20"/>
        <w:spacing w:line="440" w:lineRule="exact"/>
        <w:ind w:firstLine="487" w:firstLineChars="202"/>
        <w:rPr>
          <w:rFonts w:eastAsia="宋体" w:cs="宋体"/>
          <w:b/>
          <w:color w:val="auto"/>
          <w:sz w:val="24"/>
          <w:szCs w:val="24"/>
        </w:rPr>
      </w:pPr>
      <w:r>
        <w:rPr>
          <w:rFonts w:hint="eastAsia" w:eastAsia="宋体" w:cs="宋体"/>
          <w:b/>
          <w:color w:val="auto"/>
          <w:sz w:val="24"/>
          <w:szCs w:val="24"/>
        </w:rPr>
        <w:t>第二条 合同价格</w:t>
      </w:r>
    </w:p>
    <w:p w14:paraId="3235C429">
      <w:pPr>
        <w:pStyle w:val="20"/>
        <w:spacing w:line="440" w:lineRule="exact"/>
        <w:ind w:firstLine="487" w:firstLineChars="202"/>
        <w:jc w:val="left"/>
        <w:rPr>
          <w:rFonts w:eastAsia="宋体" w:cs="宋体"/>
          <w:b/>
          <w:color w:val="auto"/>
          <w:sz w:val="24"/>
          <w:szCs w:val="24"/>
          <w:highlight w:val="none"/>
        </w:rPr>
      </w:pPr>
      <w:r>
        <w:rPr>
          <w:rFonts w:hint="eastAsia" w:cs="宋体"/>
          <w:b/>
          <w:bCs/>
          <w:color w:val="auto"/>
          <w:sz w:val="24"/>
          <w:szCs w:val="22"/>
          <w:highlight w:val="none"/>
          <w:lang w:val="en-US" w:eastAsia="zh-CN"/>
        </w:rPr>
        <w:t>成交</w:t>
      </w:r>
      <w:r>
        <w:rPr>
          <w:rFonts w:hint="eastAsia" w:ascii="宋体" w:hAnsi="宋体" w:eastAsia="宋体" w:cs="宋体"/>
          <w:b/>
          <w:bCs/>
          <w:color w:val="auto"/>
          <w:sz w:val="24"/>
          <w:szCs w:val="22"/>
          <w:highlight w:val="none"/>
        </w:rPr>
        <w:t>优惠率</w:t>
      </w:r>
      <w:r>
        <w:rPr>
          <w:rFonts w:hint="eastAsia" w:ascii="宋体" w:hAnsi="宋体" w:eastAsia="宋体" w:cs="宋体"/>
          <w:b/>
          <w:bCs/>
          <w:color w:val="auto"/>
          <w:sz w:val="24"/>
          <w:szCs w:val="22"/>
          <w:highlight w:val="none"/>
          <w:u w:val="single"/>
          <w:lang w:val="en-US" w:eastAsia="zh-CN"/>
        </w:rPr>
        <w:t xml:space="preserve">     </w:t>
      </w:r>
      <w:r>
        <w:rPr>
          <w:rFonts w:hint="eastAsia" w:ascii="宋体" w:hAnsi="宋体" w:eastAsia="宋体" w:cs="宋体"/>
          <w:b/>
          <w:bCs/>
          <w:color w:val="auto"/>
          <w:sz w:val="24"/>
          <w:szCs w:val="22"/>
          <w:highlight w:val="none"/>
        </w:rPr>
        <w:t>%</w:t>
      </w:r>
      <w:r>
        <w:rPr>
          <w:rFonts w:hint="eastAsia" w:cs="宋体"/>
          <w:b/>
          <w:bCs/>
          <w:color w:val="auto"/>
          <w:sz w:val="24"/>
          <w:szCs w:val="22"/>
          <w:highlight w:val="none"/>
          <w:lang w:val="en-US" w:eastAsia="zh-CN"/>
        </w:rPr>
        <w:t xml:space="preserve"> （即按</w:t>
      </w:r>
      <w:r>
        <w:rPr>
          <w:rFonts w:hint="eastAsia" w:ascii="宋体" w:hAnsi="宋体" w:eastAsia="宋体" w:cs="宋体"/>
          <w:b/>
          <w:bCs/>
          <w:color w:val="auto"/>
          <w:sz w:val="24"/>
          <w:szCs w:val="22"/>
          <w:highlight w:val="none"/>
        </w:rPr>
        <w:t>门诊收费的</w:t>
      </w:r>
      <w:r>
        <w:rPr>
          <w:rFonts w:hint="eastAsia" w:cs="宋体"/>
          <w:b/>
          <w:bCs/>
          <w:color w:val="auto"/>
          <w:sz w:val="24"/>
          <w:szCs w:val="22"/>
          <w:highlight w:val="none"/>
          <w:lang w:eastAsia="zh-CN"/>
        </w:rPr>
        <w:t>（</w:t>
      </w:r>
      <w:r>
        <w:rPr>
          <w:rFonts w:hint="eastAsia" w:cs="宋体"/>
          <w:b/>
          <w:bCs/>
          <w:color w:val="auto"/>
          <w:sz w:val="24"/>
          <w:szCs w:val="22"/>
          <w:highlight w:val="none"/>
          <w:lang w:val="en-US" w:eastAsia="zh-CN"/>
        </w:rPr>
        <w:t>1-</w:t>
      </w:r>
      <w:r>
        <w:rPr>
          <w:rFonts w:hint="eastAsia" w:cs="宋体"/>
          <w:b/>
          <w:bCs/>
          <w:color w:val="auto"/>
          <w:sz w:val="24"/>
          <w:szCs w:val="22"/>
          <w:highlight w:val="none"/>
          <w:u w:val="single"/>
          <w:lang w:val="en-US" w:eastAsia="zh-CN"/>
        </w:rPr>
        <w:t>优惠率）进行结算）</w:t>
      </w:r>
      <w:r>
        <w:rPr>
          <w:rFonts w:hint="eastAsia" w:eastAsia="宋体" w:cs="宋体"/>
          <w:b/>
          <w:bCs/>
          <w:color w:val="auto"/>
          <w:sz w:val="24"/>
          <w:szCs w:val="24"/>
          <w:highlight w:val="none"/>
        </w:rPr>
        <w:t>。</w:t>
      </w:r>
      <w:r>
        <w:rPr>
          <w:rFonts w:hint="eastAsia" w:eastAsia="宋体" w:cs="宋体"/>
          <w:b/>
          <w:color w:val="auto"/>
          <w:sz w:val="24"/>
          <w:szCs w:val="24"/>
          <w:highlight w:val="none"/>
        </w:rPr>
        <w:t xml:space="preserve"> </w:t>
      </w:r>
    </w:p>
    <w:p w14:paraId="53B3331B">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本合同总价包括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CBC8753">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本合同总价款还包含乙方应当提供的伴随服务/售后服务费用。</w:t>
      </w:r>
    </w:p>
    <w:p w14:paraId="07A03FF1">
      <w:pPr>
        <w:pStyle w:val="20"/>
        <w:spacing w:line="440" w:lineRule="exact"/>
        <w:ind w:firstLine="487" w:firstLineChars="202"/>
        <w:rPr>
          <w:rFonts w:eastAsia="宋体" w:cs="宋体"/>
          <w:b/>
          <w:color w:val="auto"/>
          <w:sz w:val="24"/>
          <w:szCs w:val="24"/>
        </w:rPr>
      </w:pPr>
      <w:r>
        <w:rPr>
          <w:rFonts w:hint="eastAsia" w:eastAsia="宋体" w:cs="宋体"/>
          <w:b/>
          <w:color w:val="auto"/>
          <w:sz w:val="24"/>
          <w:szCs w:val="24"/>
        </w:rPr>
        <w:t>第三条 组成本合同的有关文件</w:t>
      </w:r>
    </w:p>
    <w:p w14:paraId="29C1AA4A">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下列与本次采购活动有关的文件及有关附件是本合同不可分割的组成部分，与本合同具有同等法律效力，这些文件包括但不限于：</w:t>
      </w:r>
    </w:p>
    <w:p w14:paraId="05AE9308">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 xml:space="preserve">（1）竞争性磋商文件（编号：   ）          （2）乙方提供的磋商响应文件； </w:t>
      </w:r>
    </w:p>
    <w:p w14:paraId="154B4B96">
      <w:pPr>
        <w:pStyle w:val="20"/>
        <w:spacing w:line="440" w:lineRule="exact"/>
        <w:ind w:firstLine="484" w:firstLineChars="202"/>
        <w:rPr>
          <w:rFonts w:eastAsia="宋体" w:cs="宋体"/>
          <w:color w:val="auto"/>
          <w:sz w:val="24"/>
          <w:szCs w:val="24"/>
        </w:rPr>
      </w:pPr>
      <w:r>
        <w:rPr>
          <w:rFonts w:hint="eastAsia" w:eastAsia="宋体" w:cs="宋体"/>
          <w:color w:val="auto"/>
          <w:sz w:val="24"/>
          <w:szCs w:val="24"/>
        </w:rPr>
        <w:t>（3）成交通知书；                         （4）甲乙双方商定的其他文件等。</w:t>
      </w:r>
    </w:p>
    <w:p w14:paraId="049F7D62">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第四条 履约保证金</w:t>
      </w:r>
    </w:p>
    <w:p w14:paraId="7599BB71">
      <w:pPr>
        <w:adjustRightInd w:val="0"/>
        <w:snapToGrid w:val="0"/>
        <w:spacing w:line="440" w:lineRule="exact"/>
        <w:ind w:firstLine="484" w:firstLineChars="202"/>
        <w:rPr>
          <w:rFonts w:ascii="宋体" w:hAnsi="宋体" w:cs="宋体"/>
          <w:color w:val="auto"/>
          <w:sz w:val="24"/>
          <w:szCs w:val="24"/>
        </w:rPr>
      </w:pPr>
      <w:r>
        <w:rPr>
          <w:rFonts w:ascii="宋体" w:hAnsi="宋体" w:cs="宋体"/>
          <w:color w:val="auto"/>
          <w:sz w:val="24"/>
          <w:szCs w:val="24"/>
        </w:rPr>
        <w:t>/</w:t>
      </w:r>
    </w:p>
    <w:p w14:paraId="25B8C9A6">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第五条 合同款结算及支付</w:t>
      </w:r>
    </w:p>
    <w:p w14:paraId="3D1CB8DA">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rPr>
        <w:t>1.本合同项下所有款项均以人民币支付。</w:t>
      </w:r>
    </w:p>
    <w:p w14:paraId="11EC4AFB">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2.本合同项下的采购资金由甲方自行支付，乙方向甲方开具发票。</w:t>
      </w:r>
    </w:p>
    <w:p w14:paraId="3105331C">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3.结算原则：按实结算。</w:t>
      </w:r>
    </w:p>
    <w:p w14:paraId="2F868E4B">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4.付款方式：</w:t>
      </w:r>
      <w:r>
        <w:rPr>
          <w:rFonts w:hint="eastAsia" w:ascii="宋体" w:hAnsi="宋体" w:eastAsia="宋体" w:cs="宋体"/>
          <w:b w:val="0"/>
          <w:color w:val="auto"/>
          <w:sz w:val="24"/>
          <w:szCs w:val="24"/>
          <w:highlight w:val="none"/>
          <w:lang w:val="en-US" w:eastAsia="zh-CN"/>
        </w:rPr>
        <w:t>每季度服务期满后乙方出具正规发票,甲方在收到发票后</w:t>
      </w:r>
      <w:r>
        <w:rPr>
          <w:rFonts w:hint="eastAsia" w:ascii="宋体" w:hAnsi="宋体" w:cs="宋体"/>
          <w:b w:val="0"/>
          <w:color w:val="auto"/>
          <w:sz w:val="24"/>
          <w:szCs w:val="24"/>
          <w:highlight w:val="none"/>
          <w:lang w:val="en-US" w:eastAsia="zh-CN"/>
        </w:rPr>
        <w:t>1</w:t>
      </w:r>
      <w:r>
        <w:rPr>
          <w:rFonts w:hint="eastAsia" w:ascii="宋体" w:hAnsi="宋体" w:eastAsia="宋体" w:cs="宋体"/>
          <w:b w:val="0"/>
          <w:color w:val="auto"/>
          <w:sz w:val="24"/>
          <w:szCs w:val="24"/>
          <w:highlight w:val="none"/>
          <w:lang w:val="en-US" w:eastAsia="zh-CN"/>
        </w:rPr>
        <w:t>5个工作日完成付款。</w:t>
      </w:r>
    </w:p>
    <w:p w14:paraId="580D93E8">
      <w:pPr>
        <w:adjustRightInd w:val="0"/>
        <w:snapToGrid w:val="0"/>
        <w:spacing w:line="440" w:lineRule="exact"/>
        <w:ind w:firstLine="487" w:firstLineChars="202"/>
        <w:rPr>
          <w:rFonts w:ascii="宋体" w:hAnsi="宋体" w:cs="宋体"/>
          <w:b/>
          <w:color w:val="auto"/>
          <w:sz w:val="24"/>
          <w:szCs w:val="24"/>
          <w:highlight w:val="none"/>
        </w:rPr>
      </w:pPr>
      <w:r>
        <w:rPr>
          <w:rFonts w:hint="eastAsia" w:ascii="宋体" w:hAnsi="宋体" w:cs="宋体"/>
          <w:b/>
          <w:color w:val="auto"/>
          <w:sz w:val="24"/>
          <w:szCs w:val="24"/>
          <w:highlight w:val="none"/>
        </w:rPr>
        <w:t>第六条 违约责任</w:t>
      </w:r>
    </w:p>
    <w:p w14:paraId="1BF0221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1.如乙方不能</w:t>
      </w:r>
      <w:r>
        <w:rPr>
          <w:rFonts w:hint="eastAsia" w:ascii="宋体" w:hAnsi="宋体" w:cs="宋体"/>
          <w:color w:val="auto"/>
          <w:sz w:val="24"/>
          <w:szCs w:val="24"/>
          <w:highlight w:val="none"/>
        </w:rPr>
        <w:t>按约定进行服务的，</w:t>
      </w:r>
      <w:r>
        <w:rPr>
          <w:rFonts w:hint="eastAsia" w:ascii="宋体" w:hAnsi="宋体" w:cs="宋体"/>
          <w:color w:val="auto"/>
          <w:sz w:val="24"/>
          <w:highlight w:val="none"/>
        </w:rPr>
        <w:t>甲方有权解除合同，同时有权要求乙方按照合同总价5%的标准支付违约金，解除合同的通知自发出之日生效。</w:t>
      </w:r>
    </w:p>
    <w:p w14:paraId="6659B5E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2.甲方未按合同规定的期限向乙方支付货款的，每逾期1天甲方向乙方偿付欠款总额的5‰滞纳金，但累计滞纳金总额不超过欠款总额的5% 。</w:t>
      </w:r>
    </w:p>
    <w:p w14:paraId="1AA388E7">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.乙方未按本合同的规定和“服务承诺”提供伴随服务的，甲方有权提前解除本合同，同时乙方应按合同总价款的5 %向甲方承担违约责任。</w:t>
      </w:r>
    </w:p>
    <w:p w14:paraId="0EC7CBAE">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21DD89C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.乙方属虚假承诺，或是由于乙方的过错造成合同无法继续履行的，应向甲方支付不少于合同总价30%违约金，若该违约金不足以弥补甲方损失，则应当赔偿甲方所有损失。</w:t>
      </w:r>
    </w:p>
    <w:p w14:paraId="4AFC9B7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.其他未尽事宜，以《民法典》等有关法律法规规定为准，无相关规定的，双方协商解决。</w:t>
      </w:r>
    </w:p>
    <w:p w14:paraId="57E6340C">
      <w:pPr>
        <w:adjustRightInd w:val="0"/>
        <w:snapToGrid w:val="0"/>
        <w:spacing w:line="440" w:lineRule="exact"/>
        <w:ind w:firstLine="487" w:firstLineChars="202"/>
        <w:rPr>
          <w:rFonts w:ascii="宋体" w:hAnsi="宋体" w:cs="宋体"/>
          <w:b/>
          <w:color w:val="auto"/>
          <w:sz w:val="24"/>
          <w:szCs w:val="24"/>
          <w:highlight w:val="none"/>
        </w:rPr>
      </w:pPr>
      <w:r>
        <w:rPr>
          <w:rFonts w:hint="eastAsia" w:ascii="宋体" w:hAnsi="宋体" w:cs="宋体"/>
          <w:b/>
          <w:color w:val="auto"/>
          <w:sz w:val="24"/>
          <w:szCs w:val="24"/>
          <w:highlight w:val="none"/>
        </w:rPr>
        <w:t>第七条 合同的变更和终止</w:t>
      </w:r>
    </w:p>
    <w:p w14:paraId="35679331">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1.本合同一经签订，甲乙双方不得擅自变更、中止或终止合同。</w:t>
      </w:r>
    </w:p>
    <w:p w14:paraId="618688AE">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2.除发生法律规定的不能预见、不能避免并不能克服的客观情况外，甲乙双方不得放弃或拒绝履行合同。</w:t>
      </w:r>
    </w:p>
    <w:p w14:paraId="013658CD">
      <w:pPr>
        <w:adjustRightInd w:val="0"/>
        <w:snapToGrid w:val="0"/>
        <w:spacing w:line="440" w:lineRule="exact"/>
        <w:ind w:firstLine="487" w:firstLineChars="202"/>
        <w:rPr>
          <w:rFonts w:ascii="宋体" w:hAnsi="宋体" w:cs="宋体"/>
          <w:b/>
          <w:color w:val="auto"/>
          <w:sz w:val="24"/>
          <w:szCs w:val="24"/>
          <w:highlight w:val="none"/>
        </w:rPr>
      </w:pPr>
      <w:r>
        <w:rPr>
          <w:rFonts w:hint="eastAsia" w:ascii="宋体" w:hAnsi="宋体" w:cs="宋体"/>
          <w:b/>
          <w:color w:val="auto"/>
          <w:sz w:val="24"/>
          <w:szCs w:val="24"/>
          <w:highlight w:val="none"/>
        </w:rPr>
        <w:t>第八条 合同的转让</w:t>
      </w:r>
    </w:p>
    <w:p w14:paraId="1CF95EEE">
      <w:pPr>
        <w:adjustRightInd w:val="0"/>
        <w:snapToGrid w:val="0"/>
        <w:spacing w:line="440" w:lineRule="exact"/>
        <w:ind w:firstLine="484" w:firstLineChars="202"/>
        <w:rPr>
          <w:rFonts w:ascii="宋体" w:hAnsi="宋体" w:cs="宋体"/>
          <w:color w:val="auto"/>
          <w:sz w:val="24"/>
          <w:szCs w:val="24"/>
          <w:highlight w:val="none"/>
        </w:rPr>
      </w:pPr>
      <w:r>
        <w:rPr>
          <w:rFonts w:hint="eastAsia" w:ascii="宋体" w:hAnsi="宋体" w:cs="宋体"/>
          <w:color w:val="auto"/>
          <w:sz w:val="24"/>
          <w:szCs w:val="24"/>
          <w:highlight w:val="none"/>
        </w:rPr>
        <w:t>乙方不得擅自部分或全部转让其应履行的合同义务。</w:t>
      </w:r>
    </w:p>
    <w:p w14:paraId="25BB9B9E">
      <w:pPr>
        <w:adjustRightInd w:val="0"/>
        <w:snapToGrid w:val="0"/>
        <w:spacing w:line="440" w:lineRule="exact"/>
        <w:ind w:firstLine="487" w:firstLineChars="202"/>
        <w:rPr>
          <w:rFonts w:ascii="宋体" w:hAnsi="宋体" w:cs="宋体"/>
          <w:b/>
          <w:color w:val="auto"/>
          <w:sz w:val="24"/>
          <w:szCs w:val="24"/>
          <w:highlight w:val="none"/>
        </w:rPr>
      </w:pPr>
      <w:r>
        <w:rPr>
          <w:rFonts w:hint="eastAsia" w:ascii="宋体" w:hAnsi="宋体" w:cs="宋体"/>
          <w:b/>
          <w:color w:val="auto"/>
          <w:sz w:val="24"/>
          <w:szCs w:val="24"/>
          <w:highlight w:val="none"/>
        </w:rPr>
        <w:t>第九条 不可抗力</w:t>
      </w:r>
    </w:p>
    <w:p w14:paraId="294DC27F">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甲、乙方中任何一方，因不可抗力不能按时或完全履行合同的，应及时通知对方，并在</w:t>
      </w:r>
      <w:r>
        <w:rPr>
          <w:rFonts w:hint="eastAsia" w:ascii="宋体" w:hAnsi="宋体" w:cs="宋体"/>
          <w:color w:val="auto"/>
          <w:sz w:val="24"/>
          <w:szCs w:val="24"/>
          <w:u w:val="single"/>
        </w:rPr>
        <w:t xml:space="preserve">   </w:t>
      </w:r>
      <w:r>
        <w:rPr>
          <w:rFonts w:hint="eastAsia" w:ascii="宋体" w:hAnsi="宋体" w:cs="宋体"/>
          <w:color w:val="auto"/>
          <w:sz w:val="24"/>
          <w:szCs w:val="24"/>
        </w:rPr>
        <w:t>5日内提供相应证明。未履行完合同部分是否继续履行、如何履行等问题，可由双方初步协商，并向主管部门报告。确定为不可抗力原因造成的损失，免予承担责任。</w:t>
      </w:r>
    </w:p>
    <w:p w14:paraId="272B45E9">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第十条 争议的解决</w:t>
      </w:r>
    </w:p>
    <w:p w14:paraId="4225CD94">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1.因履行本合同引起的或与本合同有关的争议，甲、乙双方应首先通过友好协商解决，如果协商不能解决争议，则采取以下第（ ）种方式解决争议：</w:t>
      </w:r>
    </w:p>
    <w:p w14:paraId="3F4C855D">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（1）向甲方所在地人民法院提起诉讼；</w:t>
      </w:r>
    </w:p>
    <w:p w14:paraId="75A513CE">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（2）向甲方所在地仲裁委员会按其仲裁规则申请仲裁。</w:t>
      </w:r>
    </w:p>
    <w:p w14:paraId="58F5A990">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如没有约定，默认采取第2种方式解决争议。</w:t>
      </w:r>
    </w:p>
    <w:p w14:paraId="6376F086">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2.在法院审理和仲裁期间，除有争议部分外，本合同其他部分应继续履行。</w:t>
      </w:r>
    </w:p>
    <w:p w14:paraId="64F61E24">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 xml:space="preserve">第十一条 诚实信用 </w:t>
      </w:r>
    </w:p>
    <w:p w14:paraId="50EF46A2">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乙方应诚实信用，严格按照竞争性磋商文件要求和磋商承诺履行合同，不向甲方进行商业贿赂或者提供不正当利益。</w:t>
      </w:r>
    </w:p>
    <w:p w14:paraId="0675A2DA">
      <w:pPr>
        <w:adjustRightInd w:val="0"/>
        <w:snapToGrid w:val="0"/>
        <w:spacing w:line="440" w:lineRule="exact"/>
        <w:ind w:firstLine="487" w:firstLineChars="202"/>
        <w:rPr>
          <w:rFonts w:ascii="宋体" w:hAnsi="宋体" w:cs="宋体"/>
          <w:b/>
          <w:color w:val="auto"/>
          <w:sz w:val="24"/>
          <w:szCs w:val="24"/>
        </w:rPr>
      </w:pPr>
      <w:r>
        <w:rPr>
          <w:rFonts w:hint="eastAsia" w:ascii="宋体" w:hAnsi="宋体" w:cs="宋体"/>
          <w:b/>
          <w:color w:val="auto"/>
          <w:sz w:val="24"/>
          <w:szCs w:val="24"/>
        </w:rPr>
        <w:t>第十二条 合同生效及其他</w:t>
      </w:r>
    </w:p>
    <w:p w14:paraId="69F52B2F">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1.本合同自经甲乙双方授权代表签订并加盖公章后，自签订之日起生效。见证方仅对甲乙双方签订采购合同的事实进行见证，不代表任何承诺或保证，该合同的履行等相关情况均与见证方无任何关系。</w:t>
      </w:r>
    </w:p>
    <w:p w14:paraId="7D86876E">
      <w:pPr>
        <w:adjustRightInd w:val="0"/>
        <w:snapToGrid w:val="0"/>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2.本合同一式伍份，甲乙双方各执贰份，代理机构执壹份存档。</w:t>
      </w:r>
    </w:p>
    <w:p w14:paraId="2D06939A">
      <w:pPr>
        <w:spacing w:line="440" w:lineRule="exact"/>
        <w:ind w:firstLine="484" w:firstLineChars="202"/>
        <w:rPr>
          <w:rFonts w:ascii="宋体" w:hAnsi="宋体" w:cs="宋体"/>
          <w:color w:val="auto"/>
          <w:sz w:val="24"/>
          <w:szCs w:val="24"/>
        </w:rPr>
      </w:pPr>
      <w:r>
        <w:rPr>
          <w:rFonts w:hint="eastAsia" w:ascii="宋体" w:hAnsi="宋体" w:cs="宋体"/>
          <w:color w:val="auto"/>
          <w:sz w:val="24"/>
          <w:szCs w:val="24"/>
        </w:rPr>
        <w:t>3.本合同应按照中华人民共和国的现行法律进行解释。</w:t>
      </w:r>
    </w:p>
    <w:p w14:paraId="684E1264">
      <w:pPr>
        <w:spacing w:line="440" w:lineRule="exact"/>
        <w:ind w:firstLine="241" w:firstLineChars="1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甲    方</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乙    方</w:t>
      </w:r>
      <w:r>
        <w:rPr>
          <w:rFonts w:hint="eastAsia" w:ascii="宋体" w:hAnsi="宋体" w:eastAsia="宋体" w:cs="宋体"/>
          <w:color w:val="auto"/>
          <w:sz w:val="24"/>
          <w:szCs w:val="24"/>
          <w:highlight w:val="none"/>
        </w:rPr>
        <w:t>：</w:t>
      </w:r>
    </w:p>
    <w:p w14:paraId="631C2506">
      <w:pPr>
        <w:spacing w:line="440" w:lineRule="exact"/>
        <w:ind w:firstLine="240" w:firstLineChars="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单位名称（章）：                          单位名称（章）：</w:t>
      </w:r>
    </w:p>
    <w:p w14:paraId="7F3C3BA0">
      <w:pPr>
        <w:spacing w:line="440" w:lineRule="exact"/>
        <w:ind w:firstLine="240" w:firstLineChars="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                               单位地址：</w:t>
      </w:r>
    </w:p>
    <w:p w14:paraId="7BAFD7B6">
      <w:pPr>
        <w:spacing w:line="4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委托代理人：          法定代表人：     委托代理人：</w:t>
      </w:r>
    </w:p>
    <w:p w14:paraId="6B16984C">
      <w:pPr>
        <w:spacing w:line="4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            传真：</w:t>
      </w:r>
    </w:p>
    <w:p w14:paraId="6475E56A">
      <w:pPr>
        <w:spacing w:line="4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开户银行：        账号：</w:t>
      </w:r>
    </w:p>
    <w:p w14:paraId="37363BCB">
      <w:pPr>
        <w:spacing w:line="440" w:lineRule="exact"/>
        <w:ind w:firstLine="241" w:firstLineChars="100"/>
        <w:jc w:val="left"/>
        <w:rPr>
          <w:rFonts w:hint="eastAsia" w:ascii="宋体" w:hAnsi="宋体" w:cs="宋体"/>
          <w:b/>
          <w:bCs/>
          <w:color w:val="auto"/>
          <w:sz w:val="24"/>
          <w:szCs w:val="24"/>
        </w:rPr>
      </w:pPr>
    </w:p>
    <w:p w14:paraId="77B89700">
      <w:pPr>
        <w:spacing w:line="440" w:lineRule="exact"/>
        <w:ind w:firstLine="241" w:firstLineChars="100"/>
        <w:jc w:val="left"/>
        <w:rPr>
          <w:rFonts w:hint="eastAsia" w:ascii="宋体" w:hAnsi="宋体" w:cs="宋体"/>
          <w:b/>
          <w:bCs/>
          <w:color w:val="auto"/>
          <w:sz w:val="24"/>
          <w:szCs w:val="24"/>
        </w:rPr>
      </w:pPr>
    </w:p>
    <w:p w14:paraId="6C17E533">
      <w:pPr>
        <w:spacing w:line="440" w:lineRule="exact"/>
        <w:ind w:firstLine="241" w:firstLineChars="100"/>
        <w:jc w:val="left"/>
        <w:rPr>
          <w:rFonts w:ascii="宋体" w:hAnsi="宋体" w:cs="宋体"/>
          <w:color w:val="auto"/>
          <w:sz w:val="24"/>
          <w:szCs w:val="24"/>
        </w:rPr>
      </w:pPr>
      <w:r>
        <w:rPr>
          <w:rFonts w:hint="eastAsia" w:ascii="宋体" w:hAnsi="宋体" w:cs="宋体"/>
          <w:b/>
          <w:bCs/>
          <w:color w:val="auto"/>
          <w:sz w:val="24"/>
          <w:szCs w:val="24"/>
        </w:rPr>
        <w:t>见证方</w:t>
      </w:r>
      <w:r>
        <w:rPr>
          <w:rFonts w:hint="eastAsia" w:ascii="宋体" w:hAnsi="宋体" w:cs="宋体"/>
          <w:color w:val="auto"/>
          <w:sz w:val="24"/>
          <w:szCs w:val="24"/>
        </w:rPr>
        <w:t>：</w:t>
      </w:r>
    </w:p>
    <w:p w14:paraId="6BC0C0E6">
      <w:pPr>
        <w:tabs>
          <w:tab w:val="left" w:pos="3780"/>
        </w:tabs>
        <w:spacing w:line="440" w:lineRule="exact"/>
        <w:ind w:firstLine="240" w:firstLine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代理机构（章）：</w:t>
      </w:r>
    </w:p>
    <w:p w14:paraId="5CB51CA2">
      <w:pPr>
        <w:spacing w:line="440" w:lineRule="exact"/>
        <w:rPr>
          <w:rFonts w:ascii="宋体" w:hAnsi="宋体" w:cs="宋体"/>
          <w:color w:val="auto"/>
          <w:sz w:val="24"/>
          <w:szCs w:val="24"/>
        </w:rPr>
      </w:pPr>
      <w:r>
        <w:rPr>
          <w:rFonts w:hint="eastAsia" w:ascii="宋体" w:hAnsi="宋体" w:cs="宋体"/>
          <w:color w:val="auto"/>
          <w:sz w:val="24"/>
          <w:szCs w:val="24"/>
        </w:rPr>
        <w:t xml:space="preserve">                 </w:t>
      </w:r>
    </w:p>
    <w:p w14:paraId="2B184E0A">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经办人：                               电  话：</w:t>
      </w:r>
    </w:p>
    <w:p w14:paraId="4C86F10F">
      <w:pPr>
        <w:spacing w:line="440" w:lineRule="exact"/>
        <w:jc w:val="center"/>
        <w:rPr>
          <w:rFonts w:ascii="宋体" w:hAnsi="宋体" w:cs="宋体"/>
          <w:b/>
          <w:color w:val="auto"/>
          <w:sz w:val="24"/>
          <w:szCs w:val="24"/>
          <w:highlight w:val="none"/>
        </w:rPr>
      </w:pPr>
    </w:p>
    <w:p w14:paraId="6A51BB48">
      <w:pPr>
        <w:spacing w:line="440" w:lineRule="exact"/>
        <w:rPr>
          <w:color w:val="auto"/>
          <w:sz w:val="24"/>
          <w:highlight w:val="none"/>
        </w:rPr>
      </w:pPr>
    </w:p>
    <w:p w14:paraId="0C210254">
      <w:pPr>
        <w:pStyle w:val="16"/>
        <w:keepNext w:val="0"/>
        <w:keepLines w:val="0"/>
        <w:pageBreakBefore w:val="0"/>
        <w:widowControl w:val="0"/>
        <w:spacing w:before="0" w:line="440" w:lineRule="exact"/>
        <w:ind w:firstLine="0"/>
        <w:rPr>
          <w:rFonts w:hint="eastAsia" w:ascii="宋体" w:hAnsi="宋体" w:eastAsia="宋体" w:cs="宋体"/>
          <w:color w:val="auto"/>
          <w:sz w:val="24"/>
          <w:szCs w:val="24"/>
          <w:highlight w:val="none"/>
        </w:rPr>
      </w:pPr>
    </w:p>
    <w:p w14:paraId="393C4911">
      <w:pPr>
        <w:pStyle w:val="16"/>
        <w:keepNext w:val="0"/>
        <w:keepLines w:val="0"/>
        <w:pageBreakBefore w:val="0"/>
        <w:widowControl w:val="0"/>
        <w:spacing w:before="0" w:line="440" w:lineRule="exact"/>
        <w:ind w:firstLine="480"/>
        <w:rPr>
          <w:rFonts w:hint="eastAsia" w:ascii="宋体" w:hAnsi="宋体" w:eastAsia="宋体" w:cs="宋体"/>
          <w:color w:val="auto"/>
          <w:sz w:val="24"/>
          <w:szCs w:val="24"/>
          <w:highlight w:val="none"/>
        </w:rPr>
      </w:pPr>
    </w:p>
    <w:p w14:paraId="690ADB93">
      <w:pPr>
        <w:pStyle w:val="16"/>
        <w:keepNext w:val="0"/>
        <w:keepLines w:val="0"/>
        <w:pageBreakBefore w:val="0"/>
        <w:widowControl w:val="0"/>
        <w:spacing w:before="0" w:line="440" w:lineRule="exact"/>
        <w:ind w:firstLine="480"/>
        <w:rPr>
          <w:rFonts w:hint="eastAsia" w:ascii="宋体" w:hAnsi="宋体" w:eastAsia="宋体" w:cs="宋体"/>
          <w:color w:val="auto"/>
          <w:sz w:val="24"/>
          <w:szCs w:val="24"/>
          <w:highlight w:val="none"/>
        </w:rPr>
      </w:pPr>
    </w:p>
    <w:p w14:paraId="149E70B0">
      <w:pPr>
        <w:pStyle w:val="16"/>
        <w:keepNext w:val="0"/>
        <w:keepLines w:val="0"/>
        <w:pageBreakBefore w:val="0"/>
        <w:widowControl w:val="0"/>
        <w:spacing w:before="0" w:line="440" w:lineRule="exact"/>
        <w:ind w:firstLine="480"/>
        <w:rPr>
          <w:rFonts w:hint="eastAsia" w:ascii="宋体" w:hAnsi="宋体" w:eastAsia="宋体" w:cs="宋体"/>
          <w:color w:val="auto"/>
          <w:sz w:val="24"/>
          <w:szCs w:val="24"/>
          <w:highlight w:val="none"/>
        </w:rPr>
      </w:pPr>
    </w:p>
    <w:bookmarkEnd w:id="557"/>
    <w:p w14:paraId="1A81D239">
      <w:pPr>
        <w:spacing w:line="240" w:lineRule="auto"/>
        <w:jc w:val="center"/>
        <w:outlineLvl w:val="9"/>
        <w:rPr>
          <w:b/>
          <w:color w:val="auto"/>
          <w:sz w:val="36"/>
          <w:szCs w:val="36"/>
          <w:highlight w:val="none"/>
        </w:rPr>
      </w:pPr>
      <w:bookmarkStart w:id="559" w:name="_Toc23397"/>
    </w:p>
    <w:p w14:paraId="4BF4E17C">
      <w:pPr>
        <w:spacing w:line="240" w:lineRule="auto"/>
        <w:jc w:val="center"/>
        <w:outlineLvl w:val="9"/>
        <w:rPr>
          <w:b/>
          <w:color w:val="auto"/>
          <w:sz w:val="36"/>
          <w:szCs w:val="36"/>
          <w:highlight w:val="none"/>
        </w:rPr>
      </w:pPr>
    </w:p>
    <w:p w14:paraId="3F0341F8">
      <w:pPr>
        <w:spacing w:line="240" w:lineRule="auto"/>
        <w:jc w:val="center"/>
        <w:outlineLvl w:val="9"/>
        <w:rPr>
          <w:b/>
          <w:color w:val="auto"/>
          <w:sz w:val="36"/>
          <w:szCs w:val="36"/>
          <w:highlight w:val="none"/>
        </w:rPr>
      </w:pPr>
    </w:p>
    <w:p w14:paraId="2E97331C">
      <w:pPr>
        <w:spacing w:line="240" w:lineRule="auto"/>
        <w:jc w:val="center"/>
        <w:outlineLvl w:val="9"/>
        <w:rPr>
          <w:b/>
          <w:color w:val="auto"/>
          <w:sz w:val="36"/>
          <w:szCs w:val="36"/>
          <w:highlight w:val="none"/>
        </w:rPr>
      </w:pPr>
    </w:p>
    <w:p w14:paraId="33A57DC8">
      <w:pPr>
        <w:spacing w:line="240" w:lineRule="auto"/>
        <w:jc w:val="center"/>
        <w:outlineLvl w:val="9"/>
        <w:rPr>
          <w:b/>
          <w:color w:val="auto"/>
          <w:sz w:val="36"/>
          <w:szCs w:val="36"/>
          <w:highlight w:val="none"/>
        </w:rPr>
      </w:pPr>
    </w:p>
    <w:p w14:paraId="331944A5">
      <w:pPr>
        <w:spacing w:line="240" w:lineRule="auto"/>
        <w:jc w:val="center"/>
        <w:outlineLvl w:val="9"/>
        <w:rPr>
          <w:b/>
          <w:color w:val="auto"/>
          <w:sz w:val="36"/>
          <w:szCs w:val="36"/>
          <w:highlight w:val="none"/>
        </w:rPr>
      </w:pPr>
    </w:p>
    <w:p w14:paraId="2E3E218D">
      <w:pPr>
        <w:spacing w:line="240" w:lineRule="auto"/>
        <w:jc w:val="center"/>
        <w:outlineLvl w:val="9"/>
        <w:rPr>
          <w:b/>
          <w:color w:val="auto"/>
          <w:sz w:val="36"/>
          <w:szCs w:val="36"/>
          <w:highlight w:val="none"/>
        </w:rPr>
      </w:pPr>
    </w:p>
    <w:p w14:paraId="67E1F713">
      <w:pPr>
        <w:spacing w:line="240" w:lineRule="auto"/>
        <w:jc w:val="center"/>
        <w:outlineLvl w:val="9"/>
        <w:rPr>
          <w:b/>
          <w:color w:val="auto"/>
          <w:sz w:val="36"/>
          <w:szCs w:val="36"/>
          <w:highlight w:val="none"/>
        </w:rPr>
      </w:pPr>
    </w:p>
    <w:p w14:paraId="451EB180">
      <w:pPr>
        <w:spacing w:line="240" w:lineRule="auto"/>
        <w:jc w:val="center"/>
        <w:outlineLvl w:val="9"/>
        <w:rPr>
          <w:b/>
          <w:color w:val="auto"/>
          <w:sz w:val="36"/>
          <w:szCs w:val="36"/>
          <w:highlight w:val="none"/>
        </w:rPr>
      </w:pPr>
      <w:r>
        <w:rPr>
          <w:b/>
          <w:color w:val="auto"/>
          <w:sz w:val="36"/>
          <w:szCs w:val="36"/>
          <w:highlight w:val="none"/>
        </w:rPr>
        <w:t>第六章   响应文件格式</w:t>
      </w:r>
      <w:bookmarkEnd w:id="558"/>
      <w:bookmarkEnd w:id="559"/>
    </w:p>
    <w:p w14:paraId="299D603E">
      <w:pPr>
        <w:widowControl/>
        <w:spacing w:line="360" w:lineRule="auto"/>
        <w:jc w:val="left"/>
        <w:rPr>
          <w:b/>
          <w:color w:val="auto"/>
          <w:sz w:val="24"/>
          <w:highlight w:val="none"/>
        </w:rPr>
      </w:pPr>
    </w:p>
    <w:p w14:paraId="15ECC741">
      <w:pPr>
        <w:tabs>
          <w:tab w:val="left" w:pos="900"/>
          <w:tab w:val="left" w:pos="1980"/>
        </w:tabs>
        <w:spacing w:line="360" w:lineRule="auto"/>
        <w:rPr>
          <w:b/>
          <w:color w:val="auto"/>
          <w:sz w:val="24"/>
          <w:highlight w:val="none"/>
        </w:rPr>
      </w:pPr>
      <w:r>
        <w:rPr>
          <w:rFonts w:hint="eastAsia"/>
          <w:b/>
          <w:color w:val="auto"/>
          <w:sz w:val="24"/>
          <w:highlight w:val="none"/>
        </w:rPr>
        <w:t>供应商编制文件须知</w:t>
      </w:r>
    </w:p>
    <w:p w14:paraId="1B34F4DC">
      <w:pPr>
        <w:tabs>
          <w:tab w:val="left" w:pos="900"/>
          <w:tab w:val="left" w:pos="1980"/>
        </w:tabs>
        <w:spacing w:line="360" w:lineRule="auto"/>
        <w:ind w:left="142" w:firstLine="480"/>
        <w:rPr>
          <w:color w:val="auto"/>
          <w:sz w:val="24"/>
          <w:highlight w:val="none"/>
        </w:rPr>
      </w:pPr>
      <w:r>
        <w:rPr>
          <w:color w:val="auto"/>
          <w:sz w:val="24"/>
          <w:highlight w:val="none"/>
        </w:rPr>
        <w:t>1、供应商按照本部分的顺序编制响应文件，编制中涉及格式资料的，应按照本部分提供的内容和格式（所有表格的格式可扩展）填写提交。</w:t>
      </w:r>
    </w:p>
    <w:p w14:paraId="60E77CED">
      <w:pPr>
        <w:tabs>
          <w:tab w:val="left" w:pos="900"/>
          <w:tab w:val="left" w:pos="1980"/>
        </w:tabs>
        <w:spacing w:line="360" w:lineRule="auto"/>
        <w:ind w:left="142" w:firstLine="480"/>
        <w:rPr>
          <w:color w:val="auto"/>
          <w:sz w:val="24"/>
          <w:highlight w:val="none"/>
        </w:rPr>
      </w:pPr>
      <w:r>
        <w:rPr>
          <w:color w:val="auto"/>
          <w:sz w:val="24"/>
          <w:highlight w:val="none"/>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b/>
          <w:color w:val="auto"/>
          <w:sz w:val="24"/>
          <w:highlight w:val="none"/>
        </w:rPr>
        <w:t>否则响应无效</w:t>
      </w:r>
      <w:r>
        <w:rPr>
          <w:color w:val="auto"/>
          <w:sz w:val="24"/>
          <w:highlight w:val="none"/>
        </w:rPr>
        <w:t>。未标记“实质性格式”的文件和竞争性磋商文件未提供格式的内容，可由供应商自行编写。</w:t>
      </w:r>
    </w:p>
    <w:p w14:paraId="324D59F3">
      <w:pPr>
        <w:tabs>
          <w:tab w:val="left" w:pos="900"/>
          <w:tab w:val="left" w:pos="1980"/>
        </w:tabs>
        <w:spacing w:line="360" w:lineRule="auto"/>
        <w:ind w:left="142" w:firstLine="480"/>
        <w:rPr>
          <w:color w:val="auto"/>
          <w:sz w:val="24"/>
          <w:highlight w:val="none"/>
        </w:rPr>
      </w:pPr>
      <w:r>
        <w:rPr>
          <w:color w:val="auto"/>
          <w:sz w:val="24"/>
          <w:highlight w:val="none"/>
        </w:rPr>
        <w:t>3、全部声明和问题的回答及所附材料必须是真实的、准确的和完整的。</w:t>
      </w:r>
    </w:p>
    <w:p w14:paraId="761ED178">
      <w:pPr>
        <w:tabs>
          <w:tab w:val="left" w:pos="900"/>
          <w:tab w:val="left" w:pos="1980"/>
        </w:tabs>
        <w:spacing w:line="360" w:lineRule="auto"/>
        <w:ind w:left="142" w:firstLine="480"/>
        <w:rPr>
          <w:color w:val="auto"/>
          <w:sz w:val="24"/>
          <w:highlight w:val="none"/>
        </w:rPr>
      </w:pPr>
      <w:r>
        <w:rPr>
          <w:rFonts w:hint="eastAsia"/>
          <w:color w:val="auto"/>
          <w:sz w:val="24"/>
          <w:highlight w:val="none"/>
        </w:rPr>
        <w:t>4、响应文件应按格式要求加盖供应商公章、按要求签字。本处所指的公章是指法定名称章，不包括合同专用章、业务专用章等印章；盖章是指加盖鲜章。</w:t>
      </w:r>
    </w:p>
    <w:p w14:paraId="4F805C76">
      <w:pPr>
        <w:tabs>
          <w:tab w:val="left" w:pos="900"/>
          <w:tab w:val="left" w:pos="1980"/>
        </w:tabs>
        <w:spacing w:line="360" w:lineRule="auto"/>
        <w:ind w:left="142"/>
        <w:rPr>
          <w:color w:val="auto"/>
          <w:sz w:val="24"/>
          <w:highlight w:val="none"/>
        </w:rPr>
      </w:pPr>
    </w:p>
    <w:p w14:paraId="6F81C39E">
      <w:pPr>
        <w:widowControl/>
        <w:jc w:val="left"/>
        <w:rPr>
          <w:color w:val="auto"/>
          <w:sz w:val="24"/>
          <w:highlight w:val="none"/>
        </w:rPr>
      </w:pPr>
    </w:p>
    <w:p w14:paraId="0F35AD86">
      <w:pPr>
        <w:widowControl/>
        <w:jc w:val="left"/>
        <w:rPr>
          <w:color w:val="auto"/>
          <w:sz w:val="24"/>
          <w:highlight w:val="none"/>
        </w:rPr>
      </w:pPr>
    </w:p>
    <w:p w14:paraId="01DEFDFF">
      <w:pPr>
        <w:widowControl/>
        <w:jc w:val="left"/>
        <w:rPr>
          <w:color w:val="auto"/>
          <w:sz w:val="24"/>
          <w:highlight w:val="none"/>
        </w:rPr>
      </w:pPr>
    </w:p>
    <w:p w14:paraId="2FD94FFC">
      <w:pPr>
        <w:widowControl/>
        <w:jc w:val="left"/>
        <w:rPr>
          <w:color w:val="auto"/>
          <w:sz w:val="24"/>
          <w:highlight w:val="none"/>
        </w:rPr>
      </w:pPr>
    </w:p>
    <w:p w14:paraId="37FA7D31">
      <w:pPr>
        <w:widowControl/>
        <w:jc w:val="left"/>
        <w:rPr>
          <w:color w:val="auto"/>
          <w:sz w:val="24"/>
          <w:highlight w:val="none"/>
        </w:rPr>
      </w:pPr>
    </w:p>
    <w:p w14:paraId="11186E7D">
      <w:pPr>
        <w:widowControl/>
        <w:jc w:val="left"/>
        <w:rPr>
          <w:color w:val="auto"/>
          <w:sz w:val="24"/>
          <w:highlight w:val="none"/>
        </w:rPr>
      </w:pPr>
    </w:p>
    <w:p w14:paraId="6B26CEE4">
      <w:pPr>
        <w:widowControl/>
        <w:jc w:val="left"/>
        <w:rPr>
          <w:color w:val="auto"/>
          <w:sz w:val="24"/>
          <w:highlight w:val="none"/>
        </w:rPr>
      </w:pPr>
    </w:p>
    <w:p w14:paraId="6E4F3AA5">
      <w:pPr>
        <w:widowControl/>
        <w:jc w:val="left"/>
        <w:rPr>
          <w:color w:val="auto"/>
          <w:sz w:val="24"/>
          <w:highlight w:val="none"/>
        </w:rPr>
      </w:pPr>
    </w:p>
    <w:p w14:paraId="7C4F793E">
      <w:pPr>
        <w:widowControl/>
        <w:jc w:val="left"/>
        <w:rPr>
          <w:color w:val="auto"/>
          <w:sz w:val="24"/>
          <w:highlight w:val="none"/>
        </w:rPr>
      </w:pPr>
    </w:p>
    <w:p w14:paraId="0CA04629">
      <w:pPr>
        <w:widowControl/>
        <w:jc w:val="left"/>
        <w:rPr>
          <w:color w:val="auto"/>
          <w:sz w:val="24"/>
          <w:highlight w:val="none"/>
        </w:rPr>
      </w:pPr>
    </w:p>
    <w:p w14:paraId="2CD97E5F">
      <w:pPr>
        <w:widowControl/>
        <w:jc w:val="left"/>
        <w:rPr>
          <w:color w:val="auto"/>
          <w:sz w:val="24"/>
          <w:highlight w:val="none"/>
        </w:rPr>
      </w:pPr>
    </w:p>
    <w:p w14:paraId="0B5B3ECD">
      <w:pPr>
        <w:widowControl/>
        <w:jc w:val="left"/>
        <w:rPr>
          <w:color w:val="auto"/>
          <w:sz w:val="24"/>
          <w:highlight w:val="none"/>
        </w:rPr>
      </w:pPr>
    </w:p>
    <w:p w14:paraId="4054F355">
      <w:pPr>
        <w:widowControl/>
        <w:jc w:val="left"/>
        <w:rPr>
          <w:color w:val="auto"/>
          <w:sz w:val="24"/>
          <w:highlight w:val="none"/>
        </w:rPr>
      </w:pPr>
    </w:p>
    <w:p w14:paraId="3BDD27D2">
      <w:pPr>
        <w:widowControl/>
        <w:jc w:val="left"/>
        <w:rPr>
          <w:color w:val="auto"/>
          <w:sz w:val="24"/>
          <w:highlight w:val="none"/>
        </w:rPr>
      </w:pPr>
    </w:p>
    <w:p w14:paraId="5A5EF116">
      <w:pPr>
        <w:widowControl/>
        <w:jc w:val="left"/>
        <w:rPr>
          <w:color w:val="auto"/>
          <w:sz w:val="24"/>
          <w:highlight w:val="none"/>
        </w:rPr>
      </w:pPr>
    </w:p>
    <w:p w14:paraId="613A1EAE">
      <w:pPr>
        <w:widowControl/>
        <w:jc w:val="left"/>
        <w:rPr>
          <w:color w:val="auto"/>
          <w:sz w:val="24"/>
          <w:highlight w:val="none"/>
        </w:rPr>
      </w:pPr>
    </w:p>
    <w:p w14:paraId="74A2E5EB">
      <w:pPr>
        <w:widowControl/>
        <w:jc w:val="left"/>
        <w:rPr>
          <w:color w:val="auto"/>
          <w:sz w:val="24"/>
          <w:highlight w:val="none"/>
        </w:rPr>
      </w:pPr>
    </w:p>
    <w:p w14:paraId="2F960235">
      <w:pPr>
        <w:pStyle w:val="307"/>
        <w:ind w:firstLine="480"/>
        <w:rPr>
          <w:color w:val="auto"/>
          <w:highlight w:val="none"/>
        </w:rPr>
      </w:pPr>
    </w:p>
    <w:p w14:paraId="7DFF76A4">
      <w:pPr>
        <w:widowControl/>
        <w:jc w:val="left"/>
        <w:rPr>
          <w:color w:val="auto"/>
          <w:sz w:val="24"/>
          <w:highlight w:val="none"/>
        </w:rPr>
      </w:pP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6E0DFF15">
      <w:pPr>
        <w:widowControl/>
        <w:jc w:val="left"/>
        <w:rPr>
          <w:color w:val="auto"/>
          <w:sz w:val="24"/>
          <w:highlight w:val="none"/>
        </w:rPr>
      </w:pPr>
    </w:p>
    <w:p w14:paraId="7E28F26D">
      <w:pPr>
        <w:widowControl/>
        <w:jc w:val="left"/>
        <w:rPr>
          <w:color w:val="auto"/>
          <w:sz w:val="24"/>
          <w:highlight w:val="none"/>
        </w:rPr>
      </w:pPr>
    </w:p>
    <w:p w14:paraId="234224E7">
      <w:pPr>
        <w:widowControl/>
        <w:jc w:val="left"/>
        <w:rPr>
          <w:b/>
          <w:color w:val="auto"/>
          <w:spacing w:val="20"/>
          <w:szCs w:val="21"/>
          <w:highlight w:val="none"/>
        </w:rPr>
      </w:pPr>
    </w:p>
    <w:p w14:paraId="5A9E5D65">
      <w:pPr>
        <w:rPr>
          <w:b/>
          <w:color w:val="auto"/>
          <w:sz w:val="24"/>
          <w:highlight w:val="none"/>
        </w:rPr>
      </w:pPr>
      <w:r>
        <w:rPr>
          <w:b/>
          <w:color w:val="auto"/>
          <w:spacing w:val="20"/>
          <w:sz w:val="24"/>
          <w:highlight w:val="none"/>
        </w:rPr>
        <w:br w:type="page" w:clear="all"/>
      </w:r>
      <w:r>
        <w:rPr>
          <w:b/>
          <w:color w:val="auto"/>
          <w:spacing w:val="20"/>
          <w:sz w:val="24"/>
          <w:highlight w:val="none"/>
        </w:rPr>
        <w:t>响应文件</w:t>
      </w:r>
      <w:r>
        <w:rPr>
          <w:b/>
          <w:color w:val="auto"/>
          <w:sz w:val="24"/>
          <w:highlight w:val="none"/>
        </w:rPr>
        <w:t>封面（非实质性格式）</w:t>
      </w:r>
    </w:p>
    <w:p w14:paraId="69C6CBFA">
      <w:pPr>
        <w:jc w:val="center"/>
        <w:rPr>
          <w:color w:val="auto"/>
          <w:szCs w:val="21"/>
          <w:highlight w:val="none"/>
        </w:rPr>
      </w:pPr>
    </w:p>
    <w:p w14:paraId="2A21BDEC">
      <w:pPr>
        <w:jc w:val="center"/>
        <w:rPr>
          <w:b/>
          <w:color w:val="auto"/>
          <w:spacing w:val="60"/>
          <w:sz w:val="84"/>
          <w:szCs w:val="84"/>
          <w:highlight w:val="none"/>
        </w:rPr>
      </w:pPr>
    </w:p>
    <w:p w14:paraId="08C72788">
      <w:pPr>
        <w:jc w:val="center"/>
        <w:rPr>
          <w:b/>
          <w:color w:val="auto"/>
          <w:spacing w:val="60"/>
          <w:sz w:val="84"/>
          <w:szCs w:val="84"/>
          <w:highlight w:val="none"/>
        </w:rPr>
      </w:pPr>
    </w:p>
    <w:p w14:paraId="765E3E43">
      <w:pPr>
        <w:jc w:val="center"/>
        <w:rPr>
          <w:b/>
          <w:color w:val="auto"/>
          <w:spacing w:val="60"/>
          <w:sz w:val="84"/>
          <w:szCs w:val="84"/>
          <w:highlight w:val="none"/>
        </w:rPr>
      </w:pPr>
    </w:p>
    <w:p w14:paraId="1298C341">
      <w:pPr>
        <w:jc w:val="center"/>
        <w:rPr>
          <w:b/>
          <w:color w:val="auto"/>
          <w:spacing w:val="60"/>
          <w:sz w:val="84"/>
          <w:szCs w:val="84"/>
          <w:highlight w:val="none"/>
        </w:rPr>
      </w:pPr>
      <w:r>
        <w:rPr>
          <w:b/>
          <w:color w:val="auto"/>
          <w:spacing w:val="60"/>
          <w:sz w:val="84"/>
          <w:szCs w:val="84"/>
          <w:highlight w:val="none"/>
        </w:rPr>
        <w:t>响 应 文 件</w:t>
      </w:r>
    </w:p>
    <w:p w14:paraId="2245F4BD">
      <w:pPr>
        <w:jc w:val="center"/>
        <w:rPr>
          <w:b/>
          <w:color w:val="auto"/>
          <w:spacing w:val="60"/>
          <w:sz w:val="52"/>
          <w:szCs w:val="52"/>
          <w:highlight w:val="none"/>
        </w:rPr>
      </w:pPr>
    </w:p>
    <w:p w14:paraId="4BFE4740">
      <w:pPr>
        <w:ind w:firstLine="542"/>
        <w:rPr>
          <w:b/>
          <w:color w:val="auto"/>
          <w:spacing w:val="20"/>
          <w:sz w:val="32"/>
          <w:szCs w:val="32"/>
          <w:highlight w:val="none"/>
        </w:rPr>
      </w:pPr>
    </w:p>
    <w:p w14:paraId="2FFB6F6C">
      <w:pPr>
        <w:pStyle w:val="261"/>
        <w:rPr>
          <w:b/>
          <w:color w:val="auto"/>
          <w:spacing w:val="20"/>
          <w:sz w:val="32"/>
          <w:szCs w:val="32"/>
          <w:highlight w:val="none"/>
        </w:rPr>
      </w:pPr>
    </w:p>
    <w:p w14:paraId="7AF06540">
      <w:pPr>
        <w:rPr>
          <w:color w:val="auto"/>
          <w:highlight w:val="none"/>
        </w:rPr>
      </w:pPr>
    </w:p>
    <w:p w14:paraId="77DDF4CB">
      <w:pPr>
        <w:ind w:firstLine="542"/>
        <w:rPr>
          <w:b/>
          <w:color w:val="auto"/>
          <w:spacing w:val="20"/>
          <w:sz w:val="32"/>
          <w:szCs w:val="32"/>
          <w:highlight w:val="none"/>
        </w:rPr>
      </w:pPr>
    </w:p>
    <w:p w14:paraId="70FFB700">
      <w:pPr>
        <w:ind w:firstLine="1084"/>
        <w:rPr>
          <w:rFonts w:ascii="宋体" w:hAnsi="宋体"/>
          <w:b/>
          <w:color w:val="auto"/>
          <w:sz w:val="36"/>
          <w:highlight w:val="none"/>
        </w:rPr>
      </w:pPr>
      <w:r>
        <w:rPr>
          <w:rFonts w:hint="eastAsia" w:ascii="宋体" w:hAnsi="宋体"/>
          <w:b/>
          <w:color w:val="auto"/>
          <w:sz w:val="36"/>
          <w:highlight w:val="none"/>
        </w:rPr>
        <w:t>项 目 名 称：</w:t>
      </w:r>
    </w:p>
    <w:p w14:paraId="2B1A9CBC">
      <w:pPr>
        <w:ind w:firstLine="1084"/>
        <w:rPr>
          <w:rFonts w:ascii="宋体" w:hAnsi="宋体"/>
          <w:b/>
          <w:color w:val="auto"/>
          <w:sz w:val="36"/>
          <w:highlight w:val="none"/>
          <w:u w:val="single"/>
        </w:rPr>
      </w:pPr>
      <w:r>
        <w:rPr>
          <w:rFonts w:hint="eastAsia" w:ascii="宋体" w:hAnsi="宋体"/>
          <w:b/>
          <w:color w:val="auto"/>
          <w:sz w:val="36"/>
          <w:highlight w:val="none"/>
        </w:rPr>
        <w:t>项 目 编 号：</w:t>
      </w:r>
    </w:p>
    <w:p w14:paraId="5262AB48">
      <w:pPr>
        <w:rPr>
          <w:rFonts w:ascii="宋体" w:hAnsi="宋体"/>
          <w:b/>
          <w:color w:val="auto"/>
          <w:sz w:val="36"/>
          <w:highlight w:val="none"/>
          <w:u w:val="single"/>
        </w:rPr>
      </w:pPr>
      <w:r>
        <w:rPr>
          <w:rFonts w:hint="eastAsia" w:ascii="宋体" w:hAnsi="宋体"/>
          <w:b/>
          <w:color w:val="auto"/>
          <w:sz w:val="36"/>
          <w:highlight w:val="none"/>
        </w:rPr>
        <w:t xml:space="preserve">      供应商名称 ：</w:t>
      </w:r>
    </w:p>
    <w:p w14:paraId="12CBC04C">
      <w:pPr>
        <w:rPr>
          <w:rFonts w:ascii="宋体" w:hAnsi="宋体"/>
          <w:b/>
          <w:color w:val="auto"/>
          <w:sz w:val="36"/>
          <w:highlight w:val="none"/>
        </w:rPr>
      </w:pPr>
      <w:r>
        <w:rPr>
          <w:rFonts w:hint="eastAsia" w:ascii="宋体" w:hAnsi="宋体"/>
          <w:b/>
          <w:color w:val="auto"/>
          <w:sz w:val="36"/>
          <w:highlight w:val="none"/>
        </w:rPr>
        <w:t xml:space="preserve">      日      期 ：</w:t>
      </w:r>
    </w:p>
    <w:p w14:paraId="6576D5C9">
      <w:pPr>
        <w:ind w:firstLine="1084"/>
        <w:rPr>
          <w:rFonts w:ascii="宋体" w:hAnsi="宋体"/>
          <w:b/>
          <w:color w:val="auto"/>
          <w:sz w:val="36"/>
          <w:highlight w:val="none"/>
        </w:rPr>
      </w:pPr>
      <w:r>
        <w:rPr>
          <w:rFonts w:hint="eastAsia"/>
          <w:b/>
          <w:color w:val="auto"/>
          <w:spacing w:val="20"/>
          <w:sz w:val="32"/>
          <w:szCs w:val="32"/>
          <w:highlight w:val="none"/>
        </w:rPr>
        <w:t>授权委托人或法定代表人</w:t>
      </w:r>
      <w:r>
        <w:rPr>
          <w:rFonts w:hint="eastAsia" w:ascii="宋体" w:hAnsi="宋体"/>
          <w:b/>
          <w:color w:val="auto"/>
          <w:sz w:val="36"/>
          <w:highlight w:val="none"/>
        </w:rPr>
        <w:t>：</w:t>
      </w:r>
    </w:p>
    <w:p w14:paraId="41DEFE7C">
      <w:pPr>
        <w:spacing w:line="360" w:lineRule="auto"/>
        <w:ind w:firstLine="1084"/>
        <w:outlineLvl w:val="2"/>
        <w:rPr>
          <w:b/>
          <w:color w:val="auto"/>
          <w:spacing w:val="20"/>
          <w:sz w:val="32"/>
          <w:szCs w:val="32"/>
          <w:highlight w:val="none"/>
        </w:rPr>
      </w:pPr>
      <w:r>
        <w:rPr>
          <w:rFonts w:hint="eastAsia"/>
          <w:b/>
          <w:color w:val="auto"/>
          <w:spacing w:val="20"/>
          <w:sz w:val="32"/>
          <w:szCs w:val="32"/>
          <w:highlight w:val="none"/>
        </w:rPr>
        <w:t>（签字或盖章）</w:t>
      </w:r>
    </w:p>
    <w:p w14:paraId="680C505D">
      <w:pPr>
        <w:spacing w:line="360" w:lineRule="auto"/>
        <w:ind w:firstLine="1084"/>
        <w:rPr>
          <w:b/>
          <w:color w:val="auto"/>
          <w:spacing w:val="20"/>
          <w:sz w:val="32"/>
          <w:szCs w:val="32"/>
          <w:highlight w:val="none"/>
        </w:rPr>
      </w:pPr>
    </w:p>
    <w:p w14:paraId="33611AE7">
      <w:pPr>
        <w:spacing w:line="360" w:lineRule="auto"/>
        <w:ind w:firstLine="1084"/>
        <w:rPr>
          <w:b/>
          <w:color w:val="auto"/>
          <w:spacing w:val="20"/>
          <w:sz w:val="32"/>
          <w:szCs w:val="32"/>
          <w:highlight w:val="none"/>
        </w:rPr>
      </w:pPr>
    </w:p>
    <w:p w14:paraId="389CAEBE">
      <w:pPr>
        <w:spacing w:line="360" w:lineRule="auto"/>
        <w:jc w:val="center"/>
        <w:outlineLvl w:val="2"/>
        <w:rPr>
          <w:b/>
          <w:color w:val="auto"/>
          <w:spacing w:val="20"/>
          <w:sz w:val="32"/>
          <w:szCs w:val="32"/>
          <w:highlight w:val="none"/>
        </w:rPr>
      </w:pPr>
      <w:r>
        <w:rPr>
          <w:rFonts w:hint="eastAsia"/>
          <w:b/>
          <w:color w:val="auto"/>
          <w:spacing w:val="20"/>
          <w:sz w:val="32"/>
          <w:szCs w:val="32"/>
          <w:highlight w:val="none"/>
        </w:rPr>
        <w:t>开标时启封</w:t>
      </w:r>
    </w:p>
    <w:p w14:paraId="1371FD61">
      <w:pPr>
        <w:spacing w:line="360" w:lineRule="auto"/>
        <w:jc w:val="left"/>
        <w:rPr>
          <w:color w:val="auto"/>
          <w:sz w:val="24"/>
          <w:highlight w:val="none"/>
        </w:rPr>
      </w:pPr>
      <w:r>
        <w:rPr>
          <w:rFonts w:hint="eastAsia"/>
          <w:b/>
          <w:color w:val="auto"/>
          <w:spacing w:val="20"/>
          <w:sz w:val="32"/>
          <w:szCs w:val="32"/>
          <w:highlight w:val="none"/>
        </w:rPr>
        <w:br w:type="page" w:clear="all"/>
      </w:r>
      <w:r>
        <w:rPr>
          <w:color w:val="auto"/>
          <w:sz w:val="24"/>
          <w:szCs w:val="20"/>
          <w:highlight w:val="none"/>
        </w:rPr>
        <w:t xml:space="preserve">1 </w:t>
      </w:r>
      <w:r>
        <w:rPr>
          <w:color w:val="auto"/>
          <w:sz w:val="24"/>
          <w:highlight w:val="none"/>
        </w:rPr>
        <w:t>满足《中华人民共和国政府采购法》第二十二条规定及法律法规的其他规定</w:t>
      </w:r>
    </w:p>
    <w:p w14:paraId="217FE517">
      <w:pPr>
        <w:widowControl/>
        <w:spacing w:before="0" w:line="360" w:lineRule="auto"/>
        <w:jc w:val="left"/>
        <w:rPr>
          <w:rFonts w:ascii="宋体" w:hAnsi="宋体" w:cs="宋体"/>
          <w:b/>
          <w:color w:val="auto"/>
          <w:sz w:val="28"/>
          <w:szCs w:val="28"/>
          <w:highlight w:val="none"/>
        </w:rPr>
      </w:pPr>
      <w:r>
        <w:rPr>
          <w:b/>
          <w:color w:val="auto"/>
          <w:sz w:val="24"/>
          <w:szCs w:val="32"/>
          <w:highlight w:val="none"/>
        </w:rPr>
        <w:t>1-</w:t>
      </w:r>
      <w:r>
        <w:rPr>
          <w:rFonts w:hint="eastAsia"/>
          <w:b/>
          <w:color w:val="auto"/>
          <w:sz w:val="24"/>
          <w:szCs w:val="32"/>
          <w:highlight w:val="none"/>
        </w:rPr>
        <w:t>1</w:t>
      </w:r>
      <w:r>
        <w:rPr>
          <w:b/>
          <w:color w:val="auto"/>
          <w:sz w:val="24"/>
          <w:szCs w:val="32"/>
          <w:highlight w:val="none"/>
        </w:rPr>
        <w:t xml:space="preserve"> 供应商资格声明</w:t>
      </w:r>
      <w:r>
        <w:rPr>
          <w:rFonts w:hint="eastAsia"/>
          <w:b/>
          <w:color w:val="auto"/>
          <w:sz w:val="24"/>
          <w:szCs w:val="32"/>
          <w:highlight w:val="none"/>
        </w:rPr>
        <w:t>函（实质性格式）</w:t>
      </w:r>
    </w:p>
    <w:p w14:paraId="64FE30EC">
      <w:pPr>
        <w:widowControl/>
        <w:spacing w:before="120" w:line="360" w:lineRule="auto"/>
        <w:jc w:val="center"/>
        <w:rPr>
          <w:color w:val="auto"/>
          <w:highlight w:val="none"/>
        </w:rPr>
      </w:pPr>
      <w:r>
        <w:rPr>
          <w:rFonts w:hint="eastAsia" w:ascii="宋体" w:hAnsi="宋体" w:cs="宋体"/>
          <w:b/>
          <w:color w:val="auto"/>
          <w:sz w:val="28"/>
          <w:szCs w:val="28"/>
          <w:highlight w:val="none"/>
        </w:rPr>
        <w:t>供应商资格声明函</w:t>
      </w:r>
    </w:p>
    <w:p w14:paraId="4080BF4C">
      <w:pPr>
        <w:pStyle w:val="261"/>
        <w:spacing w:line="460" w:lineRule="exact"/>
        <w:ind w:firstLine="480"/>
        <w:rPr>
          <w:color w:val="auto"/>
          <w:highlight w:val="none"/>
        </w:rPr>
      </w:pPr>
      <w:r>
        <w:rPr>
          <w:rFonts w:hint="eastAsia"/>
          <w:color w:val="auto"/>
          <w:highlight w:val="none"/>
        </w:rPr>
        <w:t>致：常州中宇建设工程管理有限公司</w:t>
      </w:r>
    </w:p>
    <w:p w14:paraId="7377909B">
      <w:pPr>
        <w:pStyle w:val="261"/>
        <w:spacing w:line="460" w:lineRule="exact"/>
        <w:ind w:firstLine="960"/>
        <w:rPr>
          <w:color w:val="auto"/>
          <w:highlight w:val="none"/>
          <w:u w:val="single"/>
        </w:rPr>
      </w:pPr>
      <w:r>
        <w:rPr>
          <w:rFonts w:hint="eastAsia"/>
          <w:color w:val="auto"/>
          <w:highlight w:val="none"/>
          <w:u w:val="single"/>
        </w:rPr>
        <w:t>（</w:t>
      </w:r>
      <w:r>
        <w:rPr>
          <w:rFonts w:hint="eastAsia"/>
          <w:color w:val="auto"/>
          <w:highlight w:val="none"/>
          <w:u w:val="single"/>
          <w:lang w:eastAsia="zh-CN"/>
        </w:rPr>
        <w:t>常州市武进区妇幼保健计划生育服务中心</w:t>
      </w:r>
      <w:r>
        <w:rPr>
          <w:rFonts w:hint="eastAsia"/>
          <w:color w:val="auto"/>
          <w:highlight w:val="none"/>
          <w:u w:val="single"/>
        </w:rPr>
        <w:t>）</w:t>
      </w:r>
    </w:p>
    <w:p w14:paraId="1F4EDC6A">
      <w:pPr>
        <w:pStyle w:val="261"/>
        <w:spacing w:line="460" w:lineRule="exact"/>
        <w:ind w:firstLine="480"/>
        <w:rPr>
          <w:color w:val="auto"/>
          <w:highlight w:val="none"/>
        </w:rPr>
      </w:pPr>
    </w:p>
    <w:p w14:paraId="55E43792">
      <w:pPr>
        <w:pStyle w:val="261"/>
        <w:spacing w:line="460" w:lineRule="exact"/>
        <w:ind w:firstLine="480"/>
        <w:rPr>
          <w:color w:val="auto"/>
          <w:highlight w:val="none"/>
        </w:rPr>
      </w:pPr>
      <w:r>
        <w:rPr>
          <w:rFonts w:hint="eastAsia"/>
          <w:color w:val="auto"/>
          <w:highlight w:val="none"/>
        </w:rPr>
        <w:t>按照《中华人民共和国政府采购法》第二十二条和磋商文件的规定，我单位郑重声明如下：</w:t>
      </w:r>
    </w:p>
    <w:p w14:paraId="29BDBB01">
      <w:pPr>
        <w:pStyle w:val="261"/>
        <w:spacing w:line="460" w:lineRule="exact"/>
        <w:ind w:firstLine="480"/>
        <w:rPr>
          <w:color w:val="auto"/>
          <w:highlight w:val="none"/>
        </w:rPr>
      </w:pPr>
      <w:r>
        <w:rPr>
          <w:rFonts w:hint="eastAsia"/>
          <w:color w:val="auto"/>
          <w:highlight w:val="none"/>
        </w:rPr>
        <w:t>一、我单位是按照中华人民共和国法律规定登记注册的，注册地点为</w:t>
      </w:r>
      <w:r>
        <w:rPr>
          <w:rFonts w:hint="eastAsia"/>
          <w:color w:val="auto"/>
          <w:highlight w:val="none"/>
          <w:lang w:val="en-US" w:eastAsia="zh-CN"/>
        </w:rPr>
        <w:t xml:space="preserve">   </w:t>
      </w:r>
      <w:r>
        <w:rPr>
          <w:rFonts w:hint="eastAsia"/>
          <w:color w:val="auto"/>
          <w:highlight w:val="none"/>
        </w:rPr>
        <w:t>，全称为</w:t>
      </w:r>
      <w:r>
        <w:rPr>
          <w:rFonts w:hint="eastAsia"/>
          <w:color w:val="auto"/>
          <w:highlight w:val="none"/>
          <w:lang w:val="en-US" w:eastAsia="zh-CN"/>
        </w:rPr>
        <w:t xml:space="preserve">  </w:t>
      </w:r>
      <w:r>
        <w:rPr>
          <w:rFonts w:hint="eastAsia"/>
          <w:color w:val="auto"/>
          <w:highlight w:val="none"/>
        </w:rPr>
        <w:t xml:space="preserve">，统一社会信用代码为 </w:t>
      </w:r>
      <w:r>
        <w:rPr>
          <w:rFonts w:hint="eastAsia"/>
          <w:color w:val="auto"/>
          <w:highlight w:val="none"/>
          <w:lang w:val="en-US" w:eastAsia="zh-CN"/>
        </w:rPr>
        <w:t xml:space="preserve">  </w:t>
      </w:r>
      <w:r>
        <w:rPr>
          <w:rFonts w:hint="eastAsia"/>
          <w:color w:val="auto"/>
          <w:highlight w:val="none"/>
        </w:rPr>
        <w:t>，法定代表人（单位负责人）</w:t>
      </w:r>
      <w:r>
        <w:rPr>
          <w:rFonts w:hint="eastAsia"/>
          <w:color w:val="auto"/>
          <w:highlight w:val="none"/>
          <w:lang w:val="en-US" w:eastAsia="zh-CN"/>
        </w:rPr>
        <w:t xml:space="preserve">   </w:t>
      </w:r>
      <w:r>
        <w:rPr>
          <w:rFonts w:hint="eastAsia"/>
          <w:color w:val="auto"/>
          <w:highlight w:val="none"/>
        </w:rPr>
        <w:t>为，具有独立承担民事责任的能力</w:t>
      </w:r>
      <w:r>
        <w:rPr>
          <w:rFonts w:hint="eastAsia"/>
          <w:b w:val="0"/>
          <w:bCs/>
          <w:color w:val="auto"/>
          <w:highlight w:val="none"/>
        </w:rPr>
        <w:t>（如属于分公司经总公司授权参与项目，由总公司承担民事责任的，需提供总公司项目授权书）</w:t>
      </w:r>
      <w:r>
        <w:rPr>
          <w:rFonts w:hint="eastAsia"/>
          <w:bCs/>
          <w:color w:val="auto"/>
          <w:highlight w:val="none"/>
        </w:rPr>
        <w:t>。</w:t>
      </w:r>
    </w:p>
    <w:p w14:paraId="12650F92">
      <w:pPr>
        <w:pStyle w:val="261"/>
        <w:spacing w:line="460" w:lineRule="exact"/>
        <w:ind w:firstLine="480"/>
        <w:rPr>
          <w:color w:val="auto"/>
          <w:highlight w:val="none"/>
        </w:rPr>
      </w:pPr>
      <w:r>
        <w:rPr>
          <w:rFonts w:hint="eastAsia"/>
          <w:color w:val="auto"/>
          <w:highlight w:val="none"/>
        </w:rPr>
        <w:t>二、我单位未被“国家企业信用信息系统”列入经营异常名录或者严重违法企业名单。</w:t>
      </w:r>
    </w:p>
    <w:p w14:paraId="089936BD">
      <w:pPr>
        <w:pStyle w:val="261"/>
        <w:spacing w:line="460" w:lineRule="exact"/>
        <w:ind w:firstLine="480"/>
        <w:rPr>
          <w:color w:val="auto"/>
          <w:highlight w:val="none"/>
        </w:rPr>
      </w:pPr>
      <w:r>
        <w:rPr>
          <w:rFonts w:hint="eastAsia"/>
          <w:color w:val="auto"/>
          <w:highlight w:val="none"/>
        </w:rPr>
        <w:t>三、我单位具有良好的商业信誉（指供应商经营状况良好，无本资格声明第十条情形）和健全的财务会计制度。</w:t>
      </w:r>
    </w:p>
    <w:p w14:paraId="15EE51B5">
      <w:pPr>
        <w:pStyle w:val="261"/>
        <w:spacing w:line="460" w:lineRule="exact"/>
        <w:ind w:firstLine="480"/>
        <w:rPr>
          <w:color w:val="auto"/>
          <w:highlight w:val="none"/>
        </w:rPr>
      </w:pPr>
      <w:r>
        <w:rPr>
          <w:rFonts w:hint="eastAsia"/>
          <w:color w:val="auto"/>
          <w:highlight w:val="none"/>
        </w:rPr>
        <w:t>四、我单位依法进行纳税和社会保险申报并实际履行了义务。</w:t>
      </w:r>
    </w:p>
    <w:p w14:paraId="27A5ACEE">
      <w:pPr>
        <w:pStyle w:val="261"/>
        <w:spacing w:line="460" w:lineRule="exact"/>
        <w:ind w:firstLine="480"/>
        <w:rPr>
          <w:color w:val="auto"/>
          <w:highlight w:val="none"/>
        </w:rPr>
      </w:pPr>
      <w:r>
        <w:rPr>
          <w:rFonts w:hint="eastAsia"/>
          <w:color w:val="auto"/>
          <w:highlight w:val="none"/>
        </w:rPr>
        <w:t>五、我单位具有履行本项目采购合同所必需的设备和专业技术能力，并具有履行合同的良好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32AAD2D5">
      <w:pPr>
        <w:pStyle w:val="261"/>
        <w:spacing w:line="460" w:lineRule="exact"/>
        <w:ind w:firstLine="480"/>
        <w:rPr>
          <w:color w:val="auto"/>
          <w:highlight w:val="none"/>
        </w:rPr>
      </w:pPr>
      <w:r>
        <w:rPr>
          <w:rFonts w:hint="eastAsia"/>
          <w:color w:val="auto"/>
          <w:highlight w:val="none"/>
        </w:rPr>
        <w:t>主要设备有：</w:t>
      </w:r>
    </w:p>
    <w:p w14:paraId="18B515B9">
      <w:pPr>
        <w:pStyle w:val="261"/>
        <w:spacing w:line="460" w:lineRule="exact"/>
        <w:ind w:firstLine="480"/>
        <w:rPr>
          <w:color w:val="auto"/>
          <w:highlight w:val="none"/>
        </w:rPr>
      </w:pPr>
      <w:r>
        <w:rPr>
          <w:rFonts w:hint="eastAsia"/>
          <w:color w:val="auto"/>
          <w:highlight w:val="none"/>
        </w:rPr>
        <w:t>主要专业技术能力有</w:t>
      </w:r>
    </w:p>
    <w:p w14:paraId="30D97DF4">
      <w:pPr>
        <w:pStyle w:val="261"/>
        <w:spacing w:line="460" w:lineRule="exact"/>
        <w:ind w:firstLine="480"/>
        <w:rPr>
          <w:color w:val="auto"/>
          <w:highlight w:val="none"/>
        </w:rPr>
      </w:pPr>
      <w:r>
        <w:rPr>
          <w:rFonts w:hint="eastAsia"/>
          <w:color w:val="auto"/>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2FD6D441">
      <w:pPr>
        <w:pStyle w:val="261"/>
        <w:spacing w:line="360" w:lineRule="auto"/>
        <w:ind w:firstLine="480"/>
        <w:rPr>
          <w:color w:val="auto"/>
          <w:highlight w:val="none"/>
        </w:rPr>
      </w:pPr>
      <w:r>
        <w:rPr>
          <w:rFonts w:hint="eastAsia"/>
          <w:color w:val="auto"/>
          <w:highlight w:val="none"/>
        </w:rPr>
        <w:t>七、我单位具备法律、行政法规规定的其他条件。</w:t>
      </w:r>
    </w:p>
    <w:p w14:paraId="14527A68">
      <w:pPr>
        <w:pStyle w:val="261"/>
        <w:spacing w:line="360" w:lineRule="auto"/>
        <w:ind w:firstLine="480"/>
        <w:rPr>
          <w:color w:val="auto"/>
          <w:highlight w:val="none"/>
        </w:rPr>
      </w:pPr>
      <w:r>
        <w:rPr>
          <w:rFonts w:hint="eastAsia"/>
          <w:color w:val="auto"/>
          <w:highlight w:val="none"/>
        </w:rPr>
        <w:t>八、与我单位存在“单位负责人为同一人或者存在直接控股、管理关系”的其他单位信息如下（如无此情形的，填写“无”）：</w:t>
      </w:r>
    </w:p>
    <w:p w14:paraId="13FA3E73">
      <w:pPr>
        <w:pStyle w:val="261"/>
        <w:spacing w:line="360" w:lineRule="auto"/>
        <w:ind w:firstLine="480"/>
        <w:rPr>
          <w:color w:val="auto"/>
          <w:highlight w:val="none"/>
        </w:rPr>
      </w:pPr>
      <w:r>
        <w:rPr>
          <w:rFonts w:hint="eastAsia"/>
          <w:color w:val="auto"/>
          <w:highlight w:val="none"/>
        </w:rPr>
        <w:t>1、与我单位的法定代表人（单位负责人）为同一人的其他单位如下：</w:t>
      </w:r>
    </w:p>
    <w:p w14:paraId="356171CD">
      <w:pPr>
        <w:pStyle w:val="261"/>
        <w:spacing w:line="360" w:lineRule="auto"/>
        <w:ind w:firstLine="480"/>
        <w:rPr>
          <w:color w:val="auto"/>
          <w:highlight w:val="none"/>
        </w:rPr>
      </w:pPr>
      <w:r>
        <w:rPr>
          <w:rFonts w:hint="eastAsia"/>
          <w:color w:val="auto"/>
          <w:highlight w:val="none"/>
        </w:rPr>
        <w:t>2、我单位直接控股的其他单位如下：</w:t>
      </w:r>
    </w:p>
    <w:p w14:paraId="1C78992D">
      <w:pPr>
        <w:pStyle w:val="261"/>
        <w:spacing w:line="360" w:lineRule="auto"/>
        <w:ind w:firstLine="480"/>
        <w:rPr>
          <w:color w:val="auto"/>
          <w:highlight w:val="none"/>
        </w:rPr>
      </w:pPr>
      <w:r>
        <w:rPr>
          <w:rFonts w:hint="eastAsia"/>
          <w:color w:val="auto"/>
          <w:highlight w:val="none"/>
        </w:rPr>
        <w:t>3、与我单位存在管理关系的其他单位如下：</w:t>
      </w:r>
    </w:p>
    <w:p w14:paraId="2257ACF2">
      <w:pPr>
        <w:pStyle w:val="261"/>
        <w:spacing w:line="360" w:lineRule="auto"/>
        <w:ind w:firstLine="480"/>
        <w:rPr>
          <w:color w:val="auto"/>
          <w:highlight w:val="none"/>
        </w:rPr>
      </w:pPr>
      <w:r>
        <w:rPr>
          <w:rFonts w:hint="eastAsia"/>
          <w:color w:val="auto"/>
          <w:highlight w:val="none"/>
        </w:rPr>
        <w:t>九、</w:t>
      </w:r>
      <w:r>
        <w:rPr>
          <w:color w:val="auto"/>
          <w:highlight w:val="none"/>
        </w:rPr>
        <w:t>我</w:t>
      </w:r>
      <w:r>
        <w:rPr>
          <w:rFonts w:hint="eastAsia"/>
          <w:color w:val="auto"/>
          <w:highlight w:val="none"/>
        </w:rPr>
        <w:t>单位</w:t>
      </w:r>
      <w:r>
        <w:rPr>
          <w:color w:val="auto"/>
          <w:highlight w:val="none"/>
        </w:rPr>
        <w:t>不属于为本项目提供整体设计、规范编制或者项目管理、监理、检测等服务的供应商。</w:t>
      </w:r>
    </w:p>
    <w:p w14:paraId="512938E8">
      <w:pPr>
        <w:spacing w:line="360" w:lineRule="auto"/>
        <w:ind w:firstLine="420"/>
        <w:jc w:val="left"/>
        <w:rPr>
          <w:rFonts w:ascii="宋体"/>
          <w:color w:val="auto"/>
          <w:sz w:val="24"/>
          <w:highlight w:val="none"/>
        </w:rPr>
      </w:pPr>
      <w:r>
        <w:rPr>
          <w:rFonts w:hint="eastAsia"/>
          <w:color w:val="auto"/>
          <w:highlight w:val="none"/>
        </w:rPr>
        <w:t>十、</w:t>
      </w:r>
      <w:r>
        <w:rPr>
          <w:rFonts w:hint="eastAsia" w:ascii="宋体"/>
          <w:color w:val="auto"/>
          <w:sz w:val="24"/>
          <w:highlight w:val="none"/>
        </w:rPr>
        <w:t>我单位不存在以下需要回避的情形：</w:t>
      </w:r>
    </w:p>
    <w:p w14:paraId="1F44B14C">
      <w:pPr>
        <w:spacing w:line="360" w:lineRule="auto"/>
        <w:ind w:firstLine="480"/>
        <w:jc w:val="left"/>
        <w:rPr>
          <w:rFonts w:ascii="宋体"/>
          <w:color w:val="auto"/>
          <w:sz w:val="24"/>
          <w:highlight w:val="none"/>
        </w:rPr>
      </w:pPr>
      <w:r>
        <w:rPr>
          <w:rFonts w:hint="eastAsia" w:ascii="宋体"/>
          <w:color w:val="auto"/>
          <w:sz w:val="24"/>
          <w:highlight w:val="none"/>
        </w:rPr>
        <w:t>1、同一项目已接受磋商供应商、承包单位等委托的，不得再接受投资主体、建设单位或代建单位等相对利益关系人的委托；</w:t>
      </w:r>
    </w:p>
    <w:p w14:paraId="7BD97FC8">
      <w:pPr>
        <w:spacing w:line="360" w:lineRule="auto"/>
        <w:ind w:firstLine="480"/>
        <w:jc w:val="left"/>
        <w:rPr>
          <w:rFonts w:ascii="宋体"/>
          <w:color w:val="auto"/>
          <w:sz w:val="24"/>
          <w:highlight w:val="none"/>
        </w:rPr>
      </w:pPr>
      <w:r>
        <w:rPr>
          <w:rFonts w:hint="eastAsia" w:ascii="宋体"/>
          <w:color w:val="auto"/>
          <w:sz w:val="24"/>
          <w:highlight w:val="none"/>
        </w:rPr>
        <w:t>2、同一项目已接受工程量清单编制业务委托的，不得再接受审核业务的委托。</w:t>
      </w:r>
    </w:p>
    <w:p w14:paraId="2A4AF1E8">
      <w:pPr>
        <w:spacing w:line="360" w:lineRule="auto"/>
        <w:ind w:firstLine="480"/>
        <w:jc w:val="left"/>
        <w:rPr>
          <w:rFonts w:ascii="宋体"/>
          <w:color w:val="auto"/>
          <w:sz w:val="24"/>
          <w:highlight w:val="none"/>
        </w:rPr>
      </w:pPr>
      <w:r>
        <w:rPr>
          <w:rFonts w:hint="eastAsia" w:ascii="宋体"/>
          <w:color w:val="auto"/>
          <w:sz w:val="24"/>
          <w:highlight w:val="none"/>
        </w:rPr>
        <w:t>3、其他存在法律法规及相关文件要求回避情形的。</w:t>
      </w:r>
    </w:p>
    <w:p w14:paraId="4FB4FC53">
      <w:pPr>
        <w:pStyle w:val="261"/>
        <w:spacing w:line="360" w:lineRule="auto"/>
        <w:ind w:firstLine="480"/>
        <w:rPr>
          <w:color w:val="auto"/>
          <w:highlight w:val="none"/>
        </w:rPr>
      </w:pPr>
      <w:r>
        <w:rPr>
          <w:rFonts w:hint="eastAsia"/>
          <w:color w:val="auto"/>
          <w:highlight w:val="none"/>
        </w:rPr>
        <w:t>十一、</w:t>
      </w:r>
      <w:r>
        <w:rPr>
          <w:color w:val="auto"/>
          <w:highlight w:val="none"/>
        </w:rPr>
        <w:t>我单位无以下不良信用记录情形：</w:t>
      </w:r>
    </w:p>
    <w:p w14:paraId="16A52E94">
      <w:pPr>
        <w:pStyle w:val="261"/>
        <w:spacing w:line="360" w:lineRule="auto"/>
        <w:ind w:firstLine="480"/>
        <w:rPr>
          <w:color w:val="auto"/>
          <w:highlight w:val="none"/>
        </w:rPr>
      </w:pPr>
      <w:r>
        <w:rPr>
          <w:color w:val="auto"/>
          <w:highlight w:val="none"/>
        </w:rPr>
        <w:t>1</w:t>
      </w:r>
      <w:r>
        <w:rPr>
          <w:rFonts w:hint="eastAsia"/>
          <w:color w:val="auto"/>
          <w:highlight w:val="none"/>
        </w:rPr>
        <w:t>、在“信用中国”网站被列入失信被执行人和重大税收违法案件当事人名单；</w:t>
      </w:r>
    </w:p>
    <w:p w14:paraId="5F21F31A">
      <w:pPr>
        <w:pStyle w:val="261"/>
        <w:spacing w:line="360" w:lineRule="auto"/>
        <w:ind w:firstLine="480"/>
        <w:rPr>
          <w:color w:val="auto"/>
          <w:highlight w:val="none"/>
        </w:rPr>
      </w:pPr>
      <w:r>
        <w:rPr>
          <w:color w:val="auto"/>
          <w:highlight w:val="none"/>
        </w:rPr>
        <w:t>2</w:t>
      </w:r>
      <w:r>
        <w:rPr>
          <w:rFonts w:hint="eastAsia"/>
          <w:color w:val="auto"/>
          <w:highlight w:val="none"/>
        </w:rPr>
        <w:t>、在“中国政府采购网”网站被列入政府采购严重违法失信行为记录名单；</w:t>
      </w:r>
    </w:p>
    <w:p w14:paraId="63C0E6CE">
      <w:pPr>
        <w:pStyle w:val="261"/>
        <w:spacing w:line="360" w:lineRule="auto"/>
        <w:ind w:firstLine="480"/>
        <w:rPr>
          <w:color w:val="auto"/>
          <w:highlight w:val="none"/>
        </w:rPr>
      </w:pPr>
      <w:r>
        <w:rPr>
          <w:color w:val="auto"/>
          <w:highlight w:val="none"/>
        </w:rPr>
        <w:t>3</w:t>
      </w:r>
      <w:r>
        <w:rPr>
          <w:rFonts w:hint="eastAsia"/>
          <w:color w:val="auto"/>
          <w:highlight w:val="none"/>
        </w:rPr>
        <w:t>、</w:t>
      </w:r>
      <w:r>
        <w:rPr>
          <w:color w:val="auto"/>
          <w:highlight w:val="none"/>
        </w:rPr>
        <w:t>不符合《政府采购法》第二十二条规定的条件。</w:t>
      </w:r>
    </w:p>
    <w:p w14:paraId="6B4B1263">
      <w:pPr>
        <w:pStyle w:val="261"/>
        <w:spacing w:line="460" w:lineRule="exact"/>
        <w:ind w:firstLine="480"/>
        <w:rPr>
          <w:color w:val="auto"/>
          <w:highlight w:val="none"/>
        </w:rPr>
      </w:pPr>
    </w:p>
    <w:p w14:paraId="43AC8401">
      <w:pPr>
        <w:pStyle w:val="261"/>
        <w:spacing w:line="460" w:lineRule="exact"/>
        <w:ind w:firstLine="480"/>
        <w:rPr>
          <w:color w:val="auto"/>
          <w:highlight w:val="none"/>
        </w:rPr>
      </w:pPr>
      <w:r>
        <w:rPr>
          <w:rFonts w:hint="eastAsia"/>
          <w:color w:val="auto"/>
          <w:highlight w:val="none"/>
        </w:rPr>
        <w:t>我单位保证上述声明的事项都是真实的，如有虚假，我单位愿意承担相应的法律责任，并承担因此所造成的一切损失。</w:t>
      </w:r>
    </w:p>
    <w:p w14:paraId="6B621BC3">
      <w:pPr>
        <w:pStyle w:val="261"/>
        <w:spacing w:line="460" w:lineRule="exact"/>
        <w:ind w:firstLine="480"/>
        <w:rPr>
          <w:color w:val="auto"/>
          <w:highlight w:val="none"/>
        </w:rPr>
      </w:pPr>
    </w:p>
    <w:p w14:paraId="79E11CFC">
      <w:pPr>
        <w:pStyle w:val="261"/>
        <w:spacing w:line="460" w:lineRule="exact"/>
        <w:ind w:firstLine="480"/>
        <w:rPr>
          <w:color w:val="auto"/>
          <w:highlight w:val="none"/>
        </w:rPr>
      </w:pPr>
    </w:p>
    <w:p w14:paraId="3D37D8F4">
      <w:pPr>
        <w:pStyle w:val="261"/>
        <w:spacing w:line="460" w:lineRule="exact"/>
        <w:ind w:firstLine="480"/>
        <w:rPr>
          <w:color w:val="auto"/>
          <w:highlight w:val="none"/>
        </w:rPr>
      </w:pPr>
      <w:r>
        <w:rPr>
          <w:rFonts w:hint="eastAsia"/>
          <w:color w:val="auto"/>
          <w:highlight w:val="none"/>
        </w:rPr>
        <w:t>                                            供应商：（加盖公章）</w:t>
      </w:r>
    </w:p>
    <w:p w14:paraId="12F0D244">
      <w:pPr>
        <w:pStyle w:val="261"/>
        <w:spacing w:line="460" w:lineRule="exact"/>
        <w:ind w:firstLine="480"/>
        <w:rPr>
          <w:color w:val="auto"/>
          <w:highlight w:val="none"/>
        </w:rPr>
      </w:pPr>
      <w:r>
        <w:rPr>
          <w:rFonts w:hint="eastAsia"/>
          <w:color w:val="auto"/>
          <w:highlight w:val="none"/>
        </w:rPr>
        <w:t>                                      法定代表人（或单位负责人）签字或盖章：</w:t>
      </w:r>
    </w:p>
    <w:p w14:paraId="5E95B719">
      <w:pPr>
        <w:pStyle w:val="261"/>
        <w:spacing w:line="460" w:lineRule="exact"/>
        <w:ind w:firstLine="4920"/>
        <w:rPr>
          <w:color w:val="auto"/>
          <w:highlight w:val="none"/>
        </w:rPr>
      </w:pPr>
      <w:r>
        <w:rPr>
          <w:rFonts w:hint="eastAsia"/>
          <w:color w:val="auto"/>
          <w:highlight w:val="none"/>
        </w:rPr>
        <w:t>日期：    年    月    日</w:t>
      </w:r>
    </w:p>
    <w:p w14:paraId="66576277">
      <w:pPr>
        <w:spacing w:line="360" w:lineRule="auto"/>
        <w:rPr>
          <w:color w:val="auto"/>
          <w:sz w:val="24"/>
          <w:highlight w:val="none"/>
        </w:rPr>
      </w:pPr>
    </w:p>
    <w:p w14:paraId="1D750E0E">
      <w:pPr>
        <w:spacing w:line="360" w:lineRule="auto"/>
        <w:rPr>
          <w:color w:val="auto"/>
          <w:sz w:val="24"/>
          <w:highlight w:val="none"/>
        </w:rPr>
      </w:pPr>
    </w:p>
    <w:p w14:paraId="09D93366">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6CB203A1">
      <w:pPr>
        <w:tabs>
          <w:tab w:val="left" w:pos="5580"/>
        </w:tabs>
        <w:spacing w:line="360" w:lineRule="auto"/>
        <w:rPr>
          <w:color w:val="auto"/>
          <w:sz w:val="24"/>
          <w:highlight w:val="none"/>
        </w:rPr>
        <w:sectPr>
          <w:pgSz w:w="11907" w:h="16840"/>
          <w:pgMar w:top="1418" w:right="1134" w:bottom="1418" w:left="1134" w:header="851" w:footer="851" w:gutter="0"/>
          <w:cols w:space="1701" w:num="1"/>
          <w:docGrid w:linePitch="360" w:charSpace="0"/>
        </w:sectPr>
      </w:pPr>
    </w:p>
    <w:p w14:paraId="4D504B1F">
      <w:pPr>
        <w:spacing w:line="360" w:lineRule="auto"/>
        <w:jc w:val="left"/>
        <w:rPr>
          <w:rFonts w:hint="eastAsia" w:eastAsia="宋体"/>
          <w:b/>
          <w:bCs/>
          <w:color w:val="auto"/>
          <w:sz w:val="24"/>
          <w:highlight w:val="none"/>
          <w:u w:val="single"/>
          <w:lang w:eastAsia="zh-CN"/>
        </w:rPr>
      </w:pPr>
      <w:r>
        <w:rPr>
          <w:rFonts w:hint="eastAsia"/>
          <w:b/>
          <w:bCs/>
          <w:color w:val="auto"/>
          <w:sz w:val="24"/>
          <w:highlight w:val="none"/>
          <w:u w:val="single"/>
        </w:rPr>
        <w:t>1-2提供有效的营业执照副本复印件(三证合一</w:t>
      </w:r>
      <w:r>
        <w:rPr>
          <w:rFonts w:hint="eastAsia"/>
          <w:b/>
          <w:bCs/>
          <w:color w:val="auto"/>
          <w:sz w:val="24"/>
          <w:highlight w:val="none"/>
          <w:u w:val="single"/>
          <w:lang w:eastAsia="zh-CN"/>
        </w:rPr>
        <w:t>）</w:t>
      </w:r>
    </w:p>
    <w:p w14:paraId="1ABC28F4">
      <w:pPr>
        <w:rPr>
          <w:color w:val="auto"/>
          <w:sz w:val="24"/>
          <w:highlight w:val="none"/>
        </w:rPr>
      </w:pPr>
      <w:r>
        <w:rPr>
          <w:color w:val="auto"/>
          <w:sz w:val="24"/>
          <w:szCs w:val="20"/>
          <w:highlight w:val="none"/>
        </w:rPr>
        <w:br w:type="page" w:clear="all"/>
      </w:r>
    </w:p>
    <w:p w14:paraId="5248B2BA">
      <w:pPr>
        <w:spacing w:line="360" w:lineRule="auto"/>
        <w:outlineLvl w:val="2"/>
        <w:rPr>
          <w:b/>
          <w:bCs/>
          <w:color w:val="auto"/>
          <w:sz w:val="24"/>
          <w:szCs w:val="20"/>
          <w:highlight w:val="none"/>
        </w:rPr>
      </w:pPr>
      <w:r>
        <w:rPr>
          <w:b/>
          <w:bCs/>
          <w:color w:val="auto"/>
          <w:sz w:val="24"/>
          <w:szCs w:val="20"/>
          <w:highlight w:val="none"/>
        </w:rPr>
        <w:t>2 落实政府采购政策需满足的资格要求</w:t>
      </w:r>
    </w:p>
    <w:p w14:paraId="6CEBB9D9">
      <w:pPr>
        <w:tabs>
          <w:tab w:val="left" w:pos="5580"/>
        </w:tabs>
        <w:spacing w:line="360" w:lineRule="auto"/>
        <w:rPr>
          <w:color w:val="auto"/>
          <w:sz w:val="24"/>
          <w:highlight w:val="none"/>
        </w:rPr>
      </w:pPr>
      <w:r>
        <w:rPr>
          <w:rFonts w:hint="eastAsia"/>
          <w:color w:val="auto"/>
          <w:sz w:val="24"/>
          <w:highlight w:val="none"/>
        </w:rPr>
        <w:t>说明：</w:t>
      </w:r>
    </w:p>
    <w:p w14:paraId="3DD9A8D6">
      <w:pPr>
        <w:tabs>
          <w:tab w:val="left" w:pos="5580"/>
        </w:tabs>
        <w:spacing w:line="360" w:lineRule="auto"/>
        <w:rPr>
          <w:color w:val="auto"/>
          <w:sz w:val="24"/>
          <w:highlight w:val="none"/>
        </w:rPr>
      </w:pPr>
      <w:r>
        <w:rPr>
          <w:rFonts w:hint="eastAsia"/>
          <w:color w:val="auto"/>
          <w:sz w:val="24"/>
          <w:highlight w:val="none"/>
        </w:rPr>
        <w:t>1）</w:t>
      </w:r>
      <w:r>
        <w:rPr>
          <w:rFonts w:hint="eastAsia"/>
          <w:color w:val="auto"/>
          <w:sz w:val="24"/>
          <w:highlight w:val="none"/>
          <w:lang w:eastAsia="zh-CN"/>
        </w:rPr>
        <w:t>供应商</w:t>
      </w:r>
      <w:r>
        <w:rPr>
          <w:rFonts w:hint="eastAsia"/>
          <w:color w:val="auto"/>
          <w:sz w:val="24"/>
          <w:highlight w:val="none"/>
        </w:rPr>
        <w:t>如是属于本项目所属行业的中型、小型、微型企业，残疾人福利性单位、监狱企业的情形的可提供此格式文件，未提供的将不享受有关政策。《中小企业声明函》由参加政府采购活动的</w:t>
      </w:r>
      <w:r>
        <w:rPr>
          <w:rFonts w:hint="eastAsia"/>
          <w:color w:val="auto"/>
          <w:sz w:val="24"/>
          <w:highlight w:val="none"/>
          <w:lang w:eastAsia="zh-CN"/>
        </w:rPr>
        <w:t>供应商</w:t>
      </w:r>
      <w:r>
        <w:rPr>
          <w:rFonts w:hint="eastAsia"/>
          <w:color w:val="auto"/>
          <w:sz w:val="24"/>
          <w:highlight w:val="none"/>
        </w:rPr>
        <w:t>出具。联合体投标的，《中小企业声明函》由牵头人出具。</w:t>
      </w:r>
    </w:p>
    <w:p w14:paraId="2AC38967">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BD306D9">
      <w:pPr>
        <w:tabs>
          <w:tab w:val="left" w:pos="5580"/>
        </w:tabs>
        <w:spacing w:line="360" w:lineRule="auto"/>
        <w:rPr>
          <w:color w:val="auto"/>
          <w:sz w:val="24"/>
          <w:highlight w:val="none"/>
        </w:rPr>
      </w:pPr>
      <w:r>
        <w:rPr>
          <w:rFonts w:hint="eastAsia"/>
          <w:color w:val="auto"/>
          <w:sz w:val="24"/>
          <w:highlight w:val="none"/>
        </w:rPr>
        <w:t>3）对于多标的的采购项目，</w:t>
      </w:r>
      <w:r>
        <w:rPr>
          <w:rFonts w:hint="eastAsia"/>
          <w:color w:val="auto"/>
          <w:sz w:val="24"/>
          <w:highlight w:val="none"/>
          <w:lang w:eastAsia="zh-CN"/>
        </w:rPr>
        <w:t>供应商</w:t>
      </w:r>
      <w:r>
        <w:rPr>
          <w:rFonts w:hint="eastAsia"/>
          <w:color w:val="auto"/>
          <w:sz w:val="24"/>
          <w:highlight w:val="none"/>
        </w:rPr>
        <w:t>应充分、准确地了解所投产品制造企业信息。对相关情况了解不清楚的，不建议填报本声明函。</w:t>
      </w:r>
    </w:p>
    <w:p w14:paraId="4948BEE7">
      <w:pPr>
        <w:tabs>
          <w:tab w:val="left" w:pos="5580"/>
        </w:tabs>
        <w:spacing w:line="360" w:lineRule="auto"/>
        <w:rPr>
          <w:color w:val="auto"/>
          <w:sz w:val="24"/>
          <w:highlight w:val="none"/>
        </w:rPr>
      </w:pPr>
      <w:r>
        <w:rPr>
          <w:rFonts w:hint="eastAsia"/>
          <w:color w:val="auto"/>
          <w:sz w:val="24"/>
          <w:highlight w:val="none"/>
        </w:rPr>
        <w:t>4）中小企业认定标准以《关于印发中小企业划型标准规定的通知》（工信部联企业〔2011〕300号）文件规定为准。</w:t>
      </w:r>
    </w:p>
    <w:p w14:paraId="38B218BC">
      <w:pPr>
        <w:tabs>
          <w:tab w:val="left" w:pos="5580"/>
        </w:tabs>
        <w:spacing w:line="360" w:lineRule="auto"/>
        <w:rPr>
          <w:color w:val="auto"/>
          <w:sz w:val="24"/>
          <w:highlight w:val="none"/>
        </w:rPr>
      </w:pPr>
      <w:r>
        <w:rPr>
          <w:rFonts w:hint="eastAsia"/>
          <w:color w:val="auto"/>
          <w:sz w:val="24"/>
          <w:highlight w:val="none"/>
        </w:rPr>
        <w:t>5）温馨提示：为方便广大中小企业识别企业规模类型，工业和信息化部组织开发了中小企业规模类型自测小程序，在国务院客户端和工业和信息化部网站上均有链接，</w:t>
      </w:r>
      <w:r>
        <w:rPr>
          <w:rFonts w:hint="eastAsia"/>
          <w:color w:val="auto"/>
          <w:sz w:val="24"/>
          <w:highlight w:val="none"/>
          <w:lang w:eastAsia="zh-CN"/>
        </w:rPr>
        <w:t>供应商</w:t>
      </w:r>
      <w:r>
        <w:rPr>
          <w:rFonts w:hint="eastAsia"/>
          <w:color w:val="auto"/>
          <w:sz w:val="24"/>
          <w:highlight w:val="none"/>
        </w:rPr>
        <w:t>填写所属的行业和指标数据可自动生成企业规模类型测试结果。（工信部网址：</w:t>
      </w:r>
      <w:r>
        <w:rPr>
          <w:color w:val="auto"/>
          <w:highlight w:val="none"/>
        </w:rPr>
        <w:fldChar w:fldCharType="begin"/>
      </w:r>
      <w:r>
        <w:rPr>
          <w:color w:val="auto"/>
          <w:highlight w:val="none"/>
        </w:rPr>
        <w:instrText xml:space="preserve"> HYPERLINK "http://202.106.120.146/baosong/appweb/orgScale.html" </w:instrText>
      </w:r>
      <w:r>
        <w:rPr>
          <w:color w:val="auto"/>
          <w:highlight w:val="none"/>
        </w:rPr>
        <w:fldChar w:fldCharType="separate"/>
      </w:r>
      <w:r>
        <w:rPr>
          <w:rStyle w:val="315"/>
          <w:color w:val="auto"/>
          <w:sz w:val="24"/>
          <w:highlight w:val="none"/>
        </w:rPr>
        <w:t>http://202.106.120.146/baosong/appweb/orgScale.html</w:t>
      </w:r>
      <w:r>
        <w:rPr>
          <w:rStyle w:val="315"/>
          <w:color w:val="auto"/>
          <w:sz w:val="24"/>
          <w:highlight w:val="none"/>
        </w:rPr>
        <w:fldChar w:fldCharType="end"/>
      </w:r>
      <w:r>
        <w:rPr>
          <w:rFonts w:hint="eastAsia"/>
          <w:color w:val="auto"/>
          <w:sz w:val="24"/>
          <w:highlight w:val="none"/>
        </w:rPr>
        <w:t>）</w:t>
      </w:r>
    </w:p>
    <w:p w14:paraId="0BE44AAD">
      <w:pPr>
        <w:tabs>
          <w:tab w:val="left" w:pos="5580"/>
        </w:tabs>
        <w:spacing w:line="360" w:lineRule="auto"/>
        <w:rPr>
          <w:rFonts w:ascii="宋体" w:hAnsi="宋体"/>
          <w:b/>
          <w:color w:val="auto"/>
          <w:sz w:val="24"/>
          <w:highlight w:val="none"/>
        </w:rPr>
      </w:pPr>
      <w:r>
        <w:rPr>
          <w:rFonts w:hint="eastAsia"/>
          <w:color w:val="auto"/>
          <w:sz w:val="24"/>
          <w:highlight w:val="none"/>
        </w:rPr>
        <w:t>6）</w:t>
      </w:r>
      <w:r>
        <w:rPr>
          <w:rFonts w:ascii="宋体" w:hAnsi="宋体"/>
          <w:b/>
          <w:color w:val="auto"/>
          <w:sz w:val="24"/>
          <w:highlight w:val="none"/>
        </w:rPr>
        <w:t>在货物采购项目中，供应商提供的货物既有中</w:t>
      </w:r>
      <w:r>
        <w:rPr>
          <w:rFonts w:hint="eastAsia" w:ascii="宋体" w:hAnsi="宋体"/>
          <w:b/>
          <w:color w:val="auto"/>
          <w:sz w:val="24"/>
          <w:highlight w:val="none"/>
        </w:rPr>
        <w:t>型</w:t>
      </w:r>
      <w:r>
        <w:rPr>
          <w:rFonts w:ascii="宋体" w:hAnsi="宋体"/>
          <w:b/>
          <w:color w:val="auto"/>
          <w:sz w:val="24"/>
          <w:highlight w:val="none"/>
        </w:rPr>
        <w:t>企业制造货物，也有</w:t>
      </w:r>
      <w:r>
        <w:rPr>
          <w:rFonts w:hint="eastAsia" w:ascii="宋体" w:hAnsi="宋体"/>
          <w:b/>
          <w:color w:val="auto"/>
          <w:sz w:val="24"/>
          <w:highlight w:val="none"/>
        </w:rPr>
        <w:t>小微</w:t>
      </w:r>
      <w:r>
        <w:rPr>
          <w:rFonts w:ascii="宋体" w:hAnsi="宋体"/>
          <w:b/>
          <w:color w:val="auto"/>
          <w:sz w:val="24"/>
          <w:highlight w:val="none"/>
        </w:rPr>
        <w:t>企业制造货物的，不享受</w:t>
      </w:r>
      <w:r>
        <w:rPr>
          <w:rFonts w:hint="eastAsia" w:ascii="宋体" w:hAnsi="宋体"/>
          <w:b/>
          <w:color w:val="auto"/>
          <w:sz w:val="24"/>
          <w:highlight w:val="none"/>
        </w:rPr>
        <w:t>小微</w:t>
      </w:r>
      <w:r>
        <w:rPr>
          <w:rFonts w:ascii="宋体" w:hAnsi="宋体"/>
          <w:b/>
          <w:color w:val="auto"/>
          <w:sz w:val="24"/>
          <w:highlight w:val="none"/>
        </w:rPr>
        <w:t>企业扶持政策。</w:t>
      </w:r>
    </w:p>
    <w:p w14:paraId="267ADAB1">
      <w:pPr>
        <w:pStyle w:val="16"/>
        <w:rPr>
          <w:color w:val="auto"/>
          <w:highlight w:val="none"/>
        </w:rPr>
      </w:pPr>
      <w:r>
        <w:rPr>
          <w:rFonts w:hint="eastAsia" w:cs="宋体"/>
          <w:b/>
          <w:color w:val="auto"/>
          <w:sz w:val="24"/>
          <w:highlight w:val="none"/>
          <w:lang w:val="en-US" w:eastAsia="zh-CN"/>
        </w:rPr>
        <w:t>7）</w:t>
      </w:r>
      <w:r>
        <w:rPr>
          <w:rFonts w:hint="eastAsia" w:ascii="宋体" w:hAnsi="宋体" w:cs="宋体"/>
          <w:b/>
          <w:color w:val="auto"/>
          <w:sz w:val="24"/>
          <w:highlight w:val="none"/>
          <w:lang w:val="en-US" w:eastAsia="zh-CN"/>
        </w:rPr>
        <w:t>关于规范填写《中小企业声明函》的温馨提示（http://zfcg.changzhou.gov.cn/html/ns/tzgg/980332060316367.html）</w:t>
      </w:r>
    </w:p>
    <w:p w14:paraId="0E17896A">
      <w:pPr>
        <w:spacing w:line="360" w:lineRule="auto"/>
        <w:jc w:val="left"/>
        <w:outlineLvl w:val="2"/>
        <w:rPr>
          <w:color w:val="auto"/>
          <w:sz w:val="24"/>
          <w:szCs w:val="20"/>
          <w:highlight w:val="none"/>
        </w:rPr>
      </w:pPr>
    </w:p>
    <w:p w14:paraId="773F448F">
      <w:pPr>
        <w:pStyle w:val="16"/>
        <w:rPr>
          <w:color w:val="auto"/>
          <w:sz w:val="24"/>
          <w:szCs w:val="20"/>
          <w:highlight w:val="none"/>
        </w:rPr>
      </w:pPr>
    </w:p>
    <w:p w14:paraId="3BEC425A">
      <w:pPr>
        <w:rPr>
          <w:color w:val="auto"/>
          <w:sz w:val="24"/>
          <w:szCs w:val="20"/>
          <w:highlight w:val="none"/>
        </w:rPr>
      </w:pPr>
    </w:p>
    <w:p w14:paraId="7D163F4E">
      <w:pPr>
        <w:pStyle w:val="16"/>
        <w:rPr>
          <w:color w:val="auto"/>
          <w:sz w:val="24"/>
          <w:szCs w:val="20"/>
          <w:highlight w:val="none"/>
        </w:rPr>
      </w:pPr>
    </w:p>
    <w:p w14:paraId="58817C6E">
      <w:pPr>
        <w:rPr>
          <w:color w:val="auto"/>
          <w:sz w:val="24"/>
          <w:szCs w:val="20"/>
          <w:highlight w:val="none"/>
        </w:rPr>
      </w:pPr>
    </w:p>
    <w:p w14:paraId="71494650">
      <w:pPr>
        <w:pStyle w:val="16"/>
        <w:rPr>
          <w:color w:val="auto"/>
          <w:sz w:val="24"/>
          <w:szCs w:val="20"/>
          <w:highlight w:val="none"/>
        </w:rPr>
      </w:pPr>
    </w:p>
    <w:p w14:paraId="18FE3919">
      <w:pPr>
        <w:rPr>
          <w:color w:val="auto"/>
          <w:sz w:val="24"/>
          <w:szCs w:val="20"/>
          <w:highlight w:val="none"/>
        </w:rPr>
      </w:pPr>
    </w:p>
    <w:p w14:paraId="2E3293B7">
      <w:pPr>
        <w:pStyle w:val="16"/>
        <w:rPr>
          <w:color w:val="auto"/>
          <w:sz w:val="24"/>
          <w:szCs w:val="20"/>
          <w:highlight w:val="none"/>
        </w:rPr>
      </w:pPr>
    </w:p>
    <w:p w14:paraId="4283C958">
      <w:pPr>
        <w:rPr>
          <w:color w:val="auto"/>
          <w:sz w:val="24"/>
          <w:szCs w:val="20"/>
          <w:highlight w:val="none"/>
        </w:rPr>
      </w:pPr>
    </w:p>
    <w:p w14:paraId="6DCD735A">
      <w:pPr>
        <w:pStyle w:val="16"/>
        <w:rPr>
          <w:color w:val="auto"/>
          <w:sz w:val="24"/>
          <w:szCs w:val="20"/>
          <w:highlight w:val="none"/>
        </w:rPr>
      </w:pPr>
    </w:p>
    <w:p w14:paraId="25AB3650">
      <w:pPr>
        <w:rPr>
          <w:color w:val="auto"/>
          <w:sz w:val="24"/>
          <w:szCs w:val="20"/>
          <w:highlight w:val="none"/>
        </w:rPr>
      </w:pPr>
    </w:p>
    <w:p w14:paraId="61FE0425">
      <w:pPr>
        <w:pStyle w:val="16"/>
        <w:rPr>
          <w:color w:val="auto"/>
          <w:sz w:val="24"/>
          <w:szCs w:val="20"/>
          <w:highlight w:val="none"/>
        </w:rPr>
      </w:pPr>
    </w:p>
    <w:p w14:paraId="734863E3">
      <w:pPr>
        <w:rPr>
          <w:color w:val="auto"/>
          <w:sz w:val="24"/>
          <w:szCs w:val="20"/>
          <w:highlight w:val="none"/>
        </w:rPr>
      </w:pPr>
    </w:p>
    <w:p w14:paraId="64EBBF88">
      <w:pPr>
        <w:pStyle w:val="16"/>
        <w:rPr>
          <w:color w:val="auto"/>
          <w:highlight w:val="none"/>
        </w:rPr>
      </w:pPr>
    </w:p>
    <w:p w14:paraId="544D05F3">
      <w:pPr>
        <w:spacing w:line="360" w:lineRule="auto"/>
        <w:outlineLvl w:val="2"/>
        <w:rPr>
          <w:rFonts w:ascii="宋体" w:hAnsi="宋体" w:cs="宋体"/>
          <w:b/>
          <w:bCs/>
          <w:color w:val="auto"/>
          <w:sz w:val="24"/>
          <w:highlight w:val="none"/>
        </w:rPr>
      </w:pPr>
      <w:r>
        <w:rPr>
          <w:rFonts w:hint="eastAsia" w:ascii="宋体" w:hAnsi="宋体" w:cs="宋体"/>
          <w:b/>
          <w:bCs/>
          <w:color w:val="auto"/>
          <w:sz w:val="24"/>
          <w:highlight w:val="none"/>
        </w:rPr>
        <w:t>2-1 中小企业声明函（实质性格式）</w:t>
      </w:r>
    </w:p>
    <w:p w14:paraId="56AEFBD7">
      <w:pPr>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中小企业声明函（服务）格式</w:t>
      </w:r>
    </w:p>
    <w:p w14:paraId="4457CCE2">
      <w:pPr>
        <w:spacing w:line="500" w:lineRule="exact"/>
        <w:ind w:firstLine="505"/>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cs="宋体"/>
          <w:b/>
          <w:bCs/>
          <w:color w:val="auto"/>
          <w:spacing w:val="6"/>
          <w:sz w:val="24"/>
          <w:highlight w:val="none"/>
          <w:u w:val="single"/>
          <w:lang w:eastAsia="zh-CN"/>
        </w:rPr>
        <w:t>感统训练技术人才引进项目（二次）</w:t>
      </w:r>
      <w:r>
        <w:rPr>
          <w:rFonts w:hint="eastAsia" w:ascii="宋体" w:hAnsi="宋体" w:cs="宋体"/>
          <w:color w:val="auto"/>
          <w:spacing w:val="6"/>
          <w:sz w:val="24"/>
          <w:highlight w:val="none"/>
        </w:rPr>
        <w:t>采购活动，服务全部为符合政策要求的中小企业承接。相关企业（含联合体中的中小企业、签订分包意向协议的中小企业）的具体情况如下：</w:t>
      </w:r>
    </w:p>
    <w:p w14:paraId="67308C10">
      <w:pPr>
        <w:spacing w:line="500" w:lineRule="exact"/>
        <w:ind w:firstLine="505"/>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b/>
          <w:bCs/>
          <w:color w:val="auto"/>
          <w:spacing w:val="6"/>
          <w:sz w:val="24"/>
          <w:highlight w:val="none"/>
          <w:lang w:eastAsia="zh-CN"/>
        </w:rPr>
        <w:t>感统训练技术人才引进项目（二次）</w:t>
      </w:r>
      <w:r>
        <w:rPr>
          <w:rFonts w:hint="eastAsia" w:ascii="宋体" w:hAnsi="宋体" w:cs="宋体"/>
          <w:color w:val="auto"/>
          <w:spacing w:val="6"/>
          <w:sz w:val="24"/>
          <w:highlight w:val="none"/>
        </w:rPr>
        <w:t>，属于</w:t>
      </w:r>
      <w:r>
        <w:rPr>
          <w:rFonts w:hint="eastAsia" w:ascii="宋体" w:hAnsi="宋体" w:cs="宋体"/>
          <w:b/>
          <w:bCs/>
          <w:color w:val="auto"/>
          <w:spacing w:val="6"/>
          <w:sz w:val="24"/>
          <w:highlight w:val="none"/>
          <w:u w:val="single"/>
          <w:lang w:val="en-US" w:eastAsia="zh-CN"/>
        </w:rPr>
        <w:t xml:space="preserve">  </w:t>
      </w:r>
      <w:r>
        <w:rPr>
          <w:rFonts w:hint="eastAsia"/>
          <w:b/>
          <w:bCs/>
          <w:color w:val="auto"/>
          <w:sz w:val="24"/>
          <w:highlight w:val="none"/>
          <w:u w:val="single"/>
          <w:lang w:val="en-US" w:eastAsia="zh-CN"/>
        </w:rPr>
        <w:t xml:space="preserve">其他未列明 </w:t>
      </w:r>
      <w:r>
        <w:rPr>
          <w:rFonts w:hint="eastAsia" w:ascii="宋体" w:hAnsi="宋体" w:cs="宋体"/>
          <w:b/>
          <w:bCs/>
          <w:color w:val="auto"/>
          <w:spacing w:val="6"/>
          <w:sz w:val="24"/>
          <w:highlight w:val="none"/>
          <w:u w:val="single"/>
          <w:lang w:val="en-US" w:eastAsia="zh-CN"/>
        </w:rPr>
        <w:t xml:space="preserve"> </w:t>
      </w:r>
      <w:r>
        <w:rPr>
          <w:rFonts w:hint="eastAsia" w:ascii="宋体" w:hAnsi="宋体" w:cs="宋体"/>
          <w:color w:val="auto"/>
          <w:spacing w:val="6"/>
          <w:sz w:val="24"/>
          <w:highlight w:val="none"/>
        </w:rPr>
        <w:t>行业；承建（承接）企业为</w:t>
      </w:r>
      <w:r>
        <w:rPr>
          <w:rFonts w:hint="eastAsia" w:ascii="宋体" w:hAnsi="宋体" w:cs="宋体"/>
          <w:color w:val="auto"/>
          <w:spacing w:val="6"/>
          <w:sz w:val="24"/>
          <w:highlight w:val="none"/>
          <w:u w:val="single"/>
        </w:rPr>
        <w:t xml:space="preserve">     （企业名称）        </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rPr>
        <w:t>万元，资产总额</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rPr>
        <w:t>万元</w:t>
      </w:r>
      <w:r>
        <w:rPr>
          <w:rFonts w:hint="eastAsia" w:ascii="宋体" w:hAnsi="宋体" w:cs="宋体"/>
          <w:color w:val="auto"/>
          <w:spacing w:val="6"/>
          <w:sz w:val="24"/>
          <w:highlight w:val="none"/>
          <w:vertAlign w:val="superscript"/>
        </w:rPr>
        <w:t>1</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 xml:space="preserve">   （中型企业、小型企业、微型企业）   </w:t>
      </w:r>
      <w:r>
        <w:rPr>
          <w:rFonts w:hint="eastAsia" w:ascii="宋体" w:hAnsi="宋体" w:cs="宋体"/>
          <w:color w:val="auto"/>
          <w:spacing w:val="6"/>
          <w:sz w:val="24"/>
          <w:highlight w:val="none"/>
        </w:rPr>
        <w:t>；</w:t>
      </w:r>
    </w:p>
    <w:p w14:paraId="6DD8BB44">
      <w:pPr>
        <w:spacing w:line="500" w:lineRule="exact"/>
        <w:ind w:firstLine="505"/>
        <w:rPr>
          <w:rFonts w:ascii="宋体" w:hAnsi="宋体" w:cs="宋体"/>
          <w:color w:val="auto"/>
          <w:spacing w:val="6"/>
          <w:sz w:val="24"/>
          <w:highlight w:val="none"/>
        </w:rPr>
      </w:pPr>
    </w:p>
    <w:p w14:paraId="4166CA8F">
      <w:pPr>
        <w:spacing w:line="500" w:lineRule="exact"/>
        <w:ind w:firstLine="505"/>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 xml:space="preserve">   （标的名称）  </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行业；承建（承接）企业为</w:t>
      </w:r>
      <w:r>
        <w:rPr>
          <w:rFonts w:hint="eastAsia" w:ascii="宋体" w:hAnsi="宋体" w:cs="宋体"/>
          <w:color w:val="auto"/>
          <w:spacing w:val="6"/>
          <w:sz w:val="24"/>
          <w:highlight w:val="none"/>
          <w:u w:val="single"/>
        </w:rPr>
        <w:t xml:space="preserve">     （企业名称）        </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rPr>
        <w:t>万元，资产总额为万元</w:t>
      </w:r>
      <w:r>
        <w:rPr>
          <w:rFonts w:hint="eastAsia" w:ascii="宋体" w:hAnsi="宋体" w:cs="宋体"/>
          <w:color w:val="auto"/>
          <w:spacing w:val="6"/>
          <w:sz w:val="24"/>
          <w:highlight w:val="none"/>
          <w:vertAlign w:val="superscript"/>
        </w:rPr>
        <w:t>1</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rPr>
        <w:t xml:space="preserve">   （中型企业、小型企业、微型企业）   </w:t>
      </w:r>
      <w:r>
        <w:rPr>
          <w:rFonts w:hint="eastAsia" w:ascii="宋体" w:hAnsi="宋体" w:cs="宋体"/>
          <w:color w:val="auto"/>
          <w:spacing w:val="6"/>
          <w:sz w:val="24"/>
          <w:highlight w:val="none"/>
        </w:rPr>
        <w:t>；</w:t>
      </w:r>
    </w:p>
    <w:p w14:paraId="40F63702">
      <w:pPr>
        <w:spacing w:line="480" w:lineRule="auto"/>
        <w:ind w:firstLine="504"/>
        <w:rPr>
          <w:rFonts w:ascii="宋体" w:hAnsi="宋体" w:cs="宋体"/>
          <w:color w:val="auto"/>
          <w:spacing w:val="6"/>
          <w:sz w:val="24"/>
          <w:highlight w:val="none"/>
        </w:rPr>
      </w:pPr>
    </w:p>
    <w:p w14:paraId="1A96FA79">
      <w:pPr>
        <w:spacing w:line="48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w:t>
      </w:r>
    </w:p>
    <w:p w14:paraId="49CDC3D6">
      <w:pPr>
        <w:spacing w:line="48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473B634B">
      <w:pPr>
        <w:spacing w:line="48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683CEE81">
      <w:pPr>
        <w:spacing w:line="480" w:lineRule="auto"/>
        <w:ind w:right="360" w:firstLine="480"/>
        <w:jc w:val="right"/>
        <w:rPr>
          <w:rFonts w:ascii="宋体" w:hAnsi="宋体" w:cs="宋体"/>
          <w:color w:val="auto"/>
          <w:sz w:val="24"/>
          <w:highlight w:val="none"/>
        </w:rPr>
      </w:pPr>
    </w:p>
    <w:p w14:paraId="3D919AF5">
      <w:pPr>
        <w:spacing w:line="48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企业名称（加盖公章）：________</w:t>
      </w:r>
    </w:p>
    <w:p w14:paraId="6E5BB537">
      <w:pPr>
        <w:spacing w:line="480" w:lineRule="auto"/>
        <w:ind w:right="360" w:firstLine="480"/>
        <w:jc w:val="right"/>
        <w:rPr>
          <w:color w:val="auto"/>
          <w:sz w:val="32"/>
          <w:szCs w:val="32"/>
          <w:highlight w:val="none"/>
        </w:rPr>
      </w:pPr>
      <w:r>
        <w:rPr>
          <w:rFonts w:hint="eastAsia" w:ascii="宋体" w:hAnsi="宋体" w:cs="宋体"/>
          <w:color w:val="auto"/>
          <w:sz w:val="24"/>
          <w:highlight w:val="none"/>
        </w:rPr>
        <w:t>日 期：________</w:t>
      </w:r>
    </w:p>
    <w:tbl>
      <w:tblPr>
        <w:tblStyle w:val="38"/>
        <w:tblW w:w="0" w:type="auto"/>
        <w:tblInd w:w="-108" w:type="dxa"/>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8946"/>
      </w:tblGrid>
      <w:tr w14:paraId="547CCE8D">
        <w:tblPrEx>
          <w:tblBorders>
            <w:top w:val="single" w:color="000000" w:sz="4"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tcPr>
            <w:tcW w:w="8946" w:type="dxa"/>
            <w:noWrap/>
          </w:tcPr>
          <w:p w14:paraId="010002A0">
            <w:pPr>
              <w:jc w:val="left"/>
              <w:rPr>
                <w:rFonts w:ascii="宋体" w:hAnsi="宋体" w:cs="宋体"/>
                <w:color w:val="auto"/>
                <w:sz w:val="24"/>
                <w:highlight w:val="none"/>
              </w:rPr>
            </w:pPr>
            <w:r>
              <w:rPr>
                <w:rFonts w:hint="eastAsia" w:ascii="宋体" w:hAnsi="宋体" w:cs="宋体"/>
                <w:color w:val="auto"/>
                <w:sz w:val="24"/>
                <w:highlight w:val="none"/>
                <w:vertAlign w:val="superscript"/>
              </w:rPr>
              <w:t>1</w:t>
            </w:r>
            <w:r>
              <w:rPr>
                <w:rFonts w:hint="eastAsia" w:ascii="宋体" w:hAnsi="宋体" w:cs="宋体"/>
                <w:color w:val="auto"/>
                <w:sz w:val="24"/>
                <w:highlight w:val="none"/>
              </w:rPr>
              <w:t>从业人员、营业收入、资产总额填报上一年度数据，无上一年度数据的新成立企业可不填报。</w:t>
            </w:r>
          </w:p>
        </w:tc>
      </w:tr>
    </w:tbl>
    <w:p w14:paraId="0C14052C">
      <w:pPr>
        <w:rPr>
          <w:rFonts w:ascii="宋体" w:hAnsi="宋体" w:cs="宋体"/>
          <w:b/>
          <w:color w:val="auto"/>
          <w:sz w:val="36"/>
          <w:szCs w:val="36"/>
          <w:highlight w:val="none"/>
        </w:rPr>
      </w:pPr>
      <w:r>
        <w:rPr>
          <w:rFonts w:hint="eastAsia" w:ascii="宋体" w:hAnsi="宋体" w:cs="宋体"/>
          <w:b/>
          <w:color w:val="auto"/>
          <w:sz w:val="36"/>
          <w:szCs w:val="36"/>
          <w:highlight w:val="none"/>
        </w:rPr>
        <w:br w:type="page" w:clear="all"/>
      </w:r>
    </w:p>
    <w:p w14:paraId="180275C2">
      <w:pPr>
        <w:jc w:val="center"/>
        <w:rPr>
          <w:rFonts w:ascii="宋体" w:hAnsi="宋体" w:cs="宋体"/>
          <w:b/>
          <w:color w:val="auto"/>
          <w:sz w:val="24"/>
          <w:highlight w:val="none"/>
        </w:rPr>
      </w:pPr>
      <w:r>
        <w:rPr>
          <w:rFonts w:hint="eastAsia" w:ascii="宋体" w:hAnsi="宋体" w:cs="宋体"/>
          <w:b/>
          <w:color w:val="auto"/>
          <w:sz w:val="36"/>
          <w:szCs w:val="36"/>
          <w:highlight w:val="none"/>
        </w:rPr>
        <w:t xml:space="preserve">残疾人福利性单位声明函格式   </w:t>
      </w:r>
    </w:p>
    <w:p w14:paraId="244652F2">
      <w:pPr>
        <w:jc w:val="center"/>
        <w:rPr>
          <w:rFonts w:ascii="宋体" w:hAnsi="宋体" w:cs="宋体"/>
          <w:color w:val="auto"/>
          <w:sz w:val="24"/>
          <w:highlight w:val="none"/>
        </w:rPr>
      </w:pPr>
    </w:p>
    <w:p w14:paraId="667B93BC">
      <w:pPr>
        <w:spacing w:line="588" w:lineRule="exact"/>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w:t>
      </w:r>
      <w:r>
        <w:rPr>
          <w:rFonts w:hint="eastAsia" w:ascii="宋体" w:hAnsi="宋体" w:cs="宋体"/>
          <w:b/>
          <w:color w:val="auto"/>
          <w:sz w:val="24"/>
          <w:highlight w:val="none"/>
        </w:rPr>
        <w:t>（请进行勾选）</w:t>
      </w:r>
      <w:r>
        <w:rPr>
          <w:rFonts w:hint="eastAsia" w:ascii="宋体" w:hAnsi="宋体" w:cs="宋体"/>
          <w:color w:val="auto"/>
          <w:spacing w:val="6"/>
          <w:sz w:val="24"/>
          <w:highlight w:val="none"/>
        </w:rPr>
        <w:t>：</w:t>
      </w:r>
    </w:p>
    <w:p w14:paraId="75E565C5">
      <w:pPr>
        <w:spacing w:line="588" w:lineRule="exact"/>
        <w:ind w:firstLine="482"/>
        <w:rPr>
          <w:rFonts w:ascii="宋体" w:hAnsi="宋体" w:cs="宋体"/>
          <w:b/>
          <w:color w:val="auto"/>
          <w:spacing w:val="6"/>
          <w:sz w:val="24"/>
          <w:highlight w:val="none"/>
        </w:rPr>
      </w:pPr>
      <w:r>
        <w:rPr>
          <w:rFonts w:hint="eastAsia" w:ascii="宋体" w:hAnsi="宋体" w:cs="宋体"/>
          <w:b/>
          <w:color w:val="auto"/>
          <w:sz w:val="24"/>
          <w:highlight w:val="none"/>
          <w:lang w:eastAsia="zh-CN"/>
        </w:rPr>
        <w:t>□</w:t>
      </w:r>
      <w:r>
        <w:rPr>
          <w:rFonts w:hint="eastAsia" w:ascii="宋体" w:hAnsi="宋体" w:cs="宋体"/>
          <w:b/>
          <w:color w:val="auto"/>
          <w:spacing w:val="6"/>
          <w:sz w:val="24"/>
          <w:highlight w:val="none"/>
        </w:rPr>
        <w:t>不属于符合条件的残疾人福利性单位。</w:t>
      </w:r>
    </w:p>
    <w:p w14:paraId="5E6EEE84">
      <w:pPr>
        <w:spacing w:line="588" w:lineRule="exact"/>
        <w:ind w:firstLine="482"/>
        <w:rPr>
          <w:rFonts w:ascii="宋体" w:hAnsi="宋体" w:cs="宋体"/>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属于符合条件的残疾人福利性单位，</w:t>
      </w:r>
      <w:r>
        <w:rPr>
          <w:rFonts w:hint="eastAsia" w:ascii="宋体" w:hAnsi="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7F163B16">
      <w:pPr>
        <w:spacing w:line="588" w:lineRule="exact"/>
        <w:ind w:firstLine="506"/>
        <w:rPr>
          <w:rFonts w:ascii="宋体" w:hAnsi="宋体" w:cs="宋体"/>
          <w:color w:val="auto"/>
          <w:spacing w:val="6"/>
          <w:sz w:val="24"/>
          <w:highlight w:val="none"/>
        </w:rPr>
      </w:pPr>
      <w:r>
        <w:rPr>
          <w:rFonts w:hint="eastAsia" w:ascii="宋体" w:hAnsi="宋体" w:cs="宋体"/>
          <w:b/>
          <w:color w:val="auto"/>
          <w:spacing w:val="6"/>
          <w:sz w:val="24"/>
          <w:highlight w:val="none"/>
        </w:rPr>
        <w:t>本单位对上述声明的真实性负责。如有虚假，将依法承担相应责任。</w:t>
      </w:r>
    </w:p>
    <w:p w14:paraId="13A4EE1F">
      <w:pPr>
        <w:spacing w:line="588" w:lineRule="exact"/>
        <w:ind w:firstLine="504"/>
        <w:rPr>
          <w:rFonts w:ascii="宋体" w:hAnsi="宋体" w:cs="宋体"/>
          <w:color w:val="auto"/>
          <w:spacing w:val="6"/>
          <w:sz w:val="24"/>
          <w:highlight w:val="none"/>
        </w:rPr>
      </w:pPr>
    </w:p>
    <w:p w14:paraId="390F9F5D">
      <w:pPr>
        <w:spacing w:line="588" w:lineRule="exact"/>
        <w:ind w:firstLine="504"/>
        <w:rPr>
          <w:rFonts w:ascii="宋体" w:hAnsi="宋体" w:cs="宋体"/>
          <w:color w:val="auto"/>
          <w:spacing w:val="6"/>
          <w:sz w:val="24"/>
          <w:highlight w:val="none"/>
        </w:rPr>
      </w:pPr>
    </w:p>
    <w:p w14:paraId="107E704D">
      <w:pP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单位名称（加盖公章）：________</w:t>
      </w:r>
    </w:p>
    <w:p w14:paraId="0BC479BF">
      <w:pPr>
        <w:spacing w:line="360" w:lineRule="auto"/>
        <w:ind w:right="360" w:firstLine="480"/>
        <w:jc w:val="right"/>
        <w:rPr>
          <w:rFonts w:ascii="宋体" w:hAnsi="宋体" w:cs="宋体"/>
          <w:color w:val="auto"/>
          <w:sz w:val="24"/>
          <w:highlight w:val="none"/>
        </w:rPr>
      </w:pPr>
      <w:r>
        <w:rPr>
          <w:rFonts w:hint="eastAsia" w:ascii="宋体" w:hAnsi="宋体" w:cs="宋体"/>
          <w:color w:val="auto"/>
          <w:sz w:val="24"/>
          <w:highlight w:val="none"/>
        </w:rPr>
        <w:t>日 期：________</w:t>
      </w:r>
    </w:p>
    <w:p w14:paraId="45FD70A3">
      <w:pPr>
        <w:tabs>
          <w:tab w:val="left" w:pos="4860"/>
        </w:tabs>
        <w:spacing w:line="588" w:lineRule="exact"/>
        <w:ind w:right="1560" w:firstLine="504"/>
        <w:jc w:val="center"/>
        <w:rPr>
          <w:rFonts w:ascii="宋体" w:hAnsi="宋体" w:cs="宋体"/>
          <w:color w:val="auto"/>
          <w:spacing w:val="6"/>
          <w:sz w:val="24"/>
          <w:highlight w:val="none"/>
        </w:rPr>
      </w:pPr>
    </w:p>
    <w:p w14:paraId="6F4DBF44">
      <w:pPr>
        <w:spacing w:line="360" w:lineRule="auto"/>
        <w:jc w:val="left"/>
        <w:rPr>
          <w:color w:val="auto"/>
          <w:sz w:val="32"/>
          <w:szCs w:val="22"/>
          <w:highlight w:val="none"/>
        </w:rPr>
      </w:pPr>
    </w:p>
    <w:p w14:paraId="0D28181A">
      <w:pPr>
        <w:pStyle w:val="89"/>
        <w:rPr>
          <w:color w:val="auto"/>
          <w:sz w:val="32"/>
          <w:szCs w:val="22"/>
          <w:highlight w:val="none"/>
        </w:rPr>
      </w:pPr>
    </w:p>
    <w:p w14:paraId="285BCA2B">
      <w:pPr>
        <w:rPr>
          <w:color w:val="auto"/>
          <w:sz w:val="24"/>
          <w:szCs w:val="20"/>
          <w:highlight w:val="none"/>
        </w:rPr>
      </w:pPr>
      <w:r>
        <w:rPr>
          <w:color w:val="auto"/>
          <w:sz w:val="24"/>
          <w:szCs w:val="20"/>
          <w:highlight w:val="none"/>
        </w:rPr>
        <w:br w:type="page" w:clear="all"/>
      </w:r>
    </w:p>
    <w:p w14:paraId="00639E8C">
      <w:pPr>
        <w:spacing w:line="360" w:lineRule="auto"/>
        <w:outlineLvl w:val="2"/>
        <w:rPr>
          <w:b/>
          <w:bCs/>
          <w:color w:val="auto"/>
          <w:sz w:val="24"/>
          <w:szCs w:val="20"/>
          <w:highlight w:val="none"/>
        </w:rPr>
      </w:pPr>
    </w:p>
    <w:p w14:paraId="2154760F">
      <w:pPr>
        <w:spacing w:line="360" w:lineRule="auto"/>
        <w:jc w:val="left"/>
        <w:outlineLvl w:val="2"/>
        <w:rPr>
          <w:color w:val="auto"/>
          <w:sz w:val="24"/>
          <w:szCs w:val="20"/>
          <w:highlight w:val="none"/>
        </w:rPr>
      </w:pPr>
      <w:r>
        <w:rPr>
          <w:color w:val="auto"/>
          <w:sz w:val="24"/>
          <w:szCs w:val="20"/>
          <w:highlight w:val="none"/>
        </w:rPr>
        <w:t xml:space="preserve">3 </w:t>
      </w:r>
      <w:r>
        <w:rPr>
          <w:color w:val="auto"/>
          <w:sz w:val="24"/>
          <w:highlight w:val="none"/>
        </w:rPr>
        <w:t>本项目的特定资格要求</w:t>
      </w:r>
    </w:p>
    <w:p w14:paraId="317C2897">
      <w:pPr>
        <w:spacing w:line="360" w:lineRule="auto"/>
        <w:jc w:val="left"/>
        <w:rPr>
          <w:rFonts w:hint="eastAsia" w:eastAsia="宋体"/>
          <w:color w:val="auto"/>
          <w:highlight w:val="none"/>
          <w:lang w:val="en-US" w:eastAsia="zh-CN"/>
        </w:rPr>
      </w:pPr>
      <w:r>
        <w:rPr>
          <w:color w:val="auto"/>
          <w:sz w:val="24"/>
          <w:szCs w:val="20"/>
          <w:highlight w:val="none"/>
        </w:rPr>
        <w:t>3-</w:t>
      </w:r>
      <w:r>
        <w:rPr>
          <w:rFonts w:hint="eastAsia"/>
          <w:color w:val="auto"/>
          <w:sz w:val="24"/>
          <w:szCs w:val="20"/>
          <w:highlight w:val="none"/>
        </w:rPr>
        <w:t>1</w:t>
      </w:r>
      <w:r>
        <w:rPr>
          <w:color w:val="auto"/>
          <w:sz w:val="24"/>
          <w:szCs w:val="20"/>
          <w:highlight w:val="none"/>
        </w:rPr>
        <w:t>其他特定资格要求</w:t>
      </w:r>
      <w:r>
        <w:rPr>
          <w:rFonts w:hint="eastAsia"/>
          <w:color w:val="auto"/>
          <w:sz w:val="24"/>
          <w:szCs w:val="20"/>
          <w:highlight w:val="none"/>
          <w:lang w:eastAsia="zh-CN"/>
        </w:rPr>
        <w:t>：</w:t>
      </w:r>
      <w:r>
        <w:rPr>
          <w:rFonts w:hint="eastAsia" w:eastAsia="宋体"/>
          <w:color w:val="auto"/>
          <w:sz w:val="24"/>
          <w:szCs w:val="20"/>
          <w:highlight w:val="none"/>
          <w:lang w:val="en-US" w:eastAsia="zh-CN"/>
        </w:rPr>
        <w:t>无</w:t>
      </w:r>
    </w:p>
    <w:p w14:paraId="2414640D">
      <w:pPr>
        <w:pStyle w:val="307"/>
        <w:rPr>
          <w:color w:val="auto"/>
          <w:szCs w:val="20"/>
          <w:highlight w:val="none"/>
        </w:rPr>
      </w:pPr>
    </w:p>
    <w:p w14:paraId="4C567280">
      <w:pPr>
        <w:pStyle w:val="307"/>
        <w:rPr>
          <w:color w:val="auto"/>
          <w:szCs w:val="20"/>
          <w:highlight w:val="none"/>
        </w:rPr>
      </w:pPr>
    </w:p>
    <w:p w14:paraId="63FB0652">
      <w:pPr>
        <w:pStyle w:val="307"/>
        <w:rPr>
          <w:color w:val="auto"/>
          <w:szCs w:val="20"/>
          <w:highlight w:val="none"/>
        </w:rPr>
      </w:pPr>
    </w:p>
    <w:p w14:paraId="62A6EBEE">
      <w:pPr>
        <w:pStyle w:val="307"/>
        <w:rPr>
          <w:color w:val="auto"/>
          <w:szCs w:val="20"/>
          <w:highlight w:val="none"/>
        </w:rPr>
      </w:pPr>
    </w:p>
    <w:p w14:paraId="23B52763">
      <w:pPr>
        <w:pStyle w:val="307"/>
        <w:rPr>
          <w:color w:val="auto"/>
          <w:szCs w:val="20"/>
          <w:highlight w:val="none"/>
        </w:rPr>
      </w:pPr>
    </w:p>
    <w:p w14:paraId="0AD13798">
      <w:pPr>
        <w:pStyle w:val="307"/>
        <w:rPr>
          <w:color w:val="auto"/>
          <w:szCs w:val="20"/>
          <w:highlight w:val="none"/>
        </w:rPr>
      </w:pPr>
    </w:p>
    <w:p w14:paraId="60D0DD7A">
      <w:pPr>
        <w:pStyle w:val="307"/>
        <w:rPr>
          <w:color w:val="auto"/>
          <w:szCs w:val="20"/>
          <w:highlight w:val="none"/>
        </w:rPr>
      </w:pPr>
    </w:p>
    <w:p w14:paraId="7543FC6E">
      <w:pPr>
        <w:pStyle w:val="307"/>
        <w:rPr>
          <w:color w:val="auto"/>
          <w:szCs w:val="20"/>
          <w:highlight w:val="none"/>
        </w:rPr>
      </w:pPr>
    </w:p>
    <w:p w14:paraId="1B2E613A">
      <w:pPr>
        <w:pStyle w:val="307"/>
        <w:rPr>
          <w:color w:val="auto"/>
          <w:szCs w:val="20"/>
          <w:highlight w:val="none"/>
        </w:rPr>
      </w:pPr>
    </w:p>
    <w:p w14:paraId="45E4FED1">
      <w:pPr>
        <w:pStyle w:val="307"/>
        <w:rPr>
          <w:color w:val="auto"/>
          <w:szCs w:val="20"/>
          <w:highlight w:val="none"/>
        </w:rPr>
      </w:pPr>
    </w:p>
    <w:p w14:paraId="5F37E421">
      <w:pPr>
        <w:pStyle w:val="307"/>
        <w:rPr>
          <w:color w:val="auto"/>
          <w:szCs w:val="20"/>
          <w:highlight w:val="none"/>
        </w:rPr>
      </w:pPr>
    </w:p>
    <w:p w14:paraId="50C751D4">
      <w:pPr>
        <w:pStyle w:val="307"/>
        <w:rPr>
          <w:color w:val="auto"/>
          <w:szCs w:val="20"/>
          <w:highlight w:val="none"/>
        </w:rPr>
      </w:pPr>
    </w:p>
    <w:p w14:paraId="135A86FF">
      <w:pPr>
        <w:pStyle w:val="307"/>
        <w:rPr>
          <w:color w:val="auto"/>
          <w:szCs w:val="20"/>
          <w:highlight w:val="none"/>
        </w:rPr>
      </w:pPr>
    </w:p>
    <w:p w14:paraId="64EBCB35">
      <w:pPr>
        <w:pStyle w:val="307"/>
        <w:rPr>
          <w:color w:val="auto"/>
          <w:szCs w:val="20"/>
          <w:highlight w:val="none"/>
        </w:rPr>
      </w:pPr>
    </w:p>
    <w:p w14:paraId="541596E1">
      <w:pPr>
        <w:pStyle w:val="307"/>
        <w:rPr>
          <w:color w:val="auto"/>
          <w:szCs w:val="20"/>
          <w:highlight w:val="none"/>
        </w:rPr>
      </w:pPr>
    </w:p>
    <w:p w14:paraId="44CA8572">
      <w:pPr>
        <w:pStyle w:val="307"/>
        <w:rPr>
          <w:color w:val="auto"/>
          <w:szCs w:val="20"/>
          <w:highlight w:val="none"/>
        </w:rPr>
      </w:pPr>
    </w:p>
    <w:p w14:paraId="57B4AE0C">
      <w:pPr>
        <w:pStyle w:val="307"/>
        <w:rPr>
          <w:color w:val="auto"/>
          <w:szCs w:val="20"/>
          <w:highlight w:val="none"/>
        </w:rPr>
      </w:pPr>
    </w:p>
    <w:p w14:paraId="68C53483">
      <w:pPr>
        <w:pStyle w:val="307"/>
        <w:rPr>
          <w:color w:val="auto"/>
          <w:szCs w:val="20"/>
          <w:highlight w:val="none"/>
        </w:rPr>
      </w:pPr>
    </w:p>
    <w:p w14:paraId="02451EF2">
      <w:pPr>
        <w:pStyle w:val="307"/>
        <w:rPr>
          <w:color w:val="auto"/>
          <w:szCs w:val="20"/>
          <w:highlight w:val="none"/>
        </w:rPr>
      </w:pPr>
    </w:p>
    <w:p w14:paraId="0E72D891">
      <w:pPr>
        <w:rPr>
          <w:color w:val="auto"/>
          <w:sz w:val="24"/>
          <w:szCs w:val="20"/>
          <w:highlight w:val="none"/>
        </w:rPr>
      </w:pPr>
    </w:p>
    <w:p w14:paraId="39ED8EF0">
      <w:pPr>
        <w:pStyle w:val="307"/>
        <w:rPr>
          <w:color w:val="auto"/>
          <w:szCs w:val="20"/>
          <w:highlight w:val="none"/>
        </w:rPr>
      </w:pPr>
    </w:p>
    <w:p w14:paraId="2DA40AFA">
      <w:pPr>
        <w:rPr>
          <w:color w:val="auto"/>
          <w:sz w:val="24"/>
          <w:szCs w:val="20"/>
          <w:highlight w:val="none"/>
        </w:rPr>
      </w:pPr>
    </w:p>
    <w:p w14:paraId="25FD8C06">
      <w:pPr>
        <w:spacing w:line="360" w:lineRule="auto"/>
        <w:outlineLvl w:val="2"/>
        <w:rPr>
          <w:color w:val="auto"/>
          <w:sz w:val="24"/>
          <w:highlight w:val="none"/>
        </w:rPr>
      </w:pPr>
      <w:bookmarkStart w:id="560" w:name="_Toc305158899"/>
      <w:bookmarkStart w:id="561" w:name="_Toc520356218"/>
      <w:bookmarkStart w:id="562" w:name="_Toc264969247"/>
      <w:bookmarkStart w:id="563" w:name="_Toc226965830"/>
      <w:bookmarkStart w:id="564" w:name="_Ref467988705"/>
      <w:bookmarkStart w:id="565" w:name="_Toc265228395"/>
      <w:bookmarkStart w:id="566" w:name="_Toc226309801"/>
      <w:bookmarkStart w:id="567" w:name="_Toc305158825"/>
      <w:bookmarkStart w:id="568" w:name="_Toc142311059"/>
      <w:bookmarkStart w:id="569" w:name="_Toc150774762"/>
      <w:bookmarkStart w:id="570" w:name="_Toc127151557"/>
      <w:bookmarkStart w:id="571" w:name="_Toc226965747"/>
      <w:bookmarkStart w:id="572" w:name="_Toc226337253"/>
      <w:bookmarkStart w:id="573" w:name="_Toc150480795"/>
      <w:bookmarkStart w:id="574" w:name="_Toc480942350"/>
      <w:bookmarkStart w:id="575" w:name="_Toc195842922"/>
      <w:r>
        <w:rPr>
          <w:rFonts w:hint="eastAsia"/>
          <w:color w:val="auto"/>
          <w:sz w:val="24"/>
          <w:highlight w:val="none"/>
        </w:rPr>
        <w:t>4</w:t>
      </w:r>
      <w:r>
        <w:rPr>
          <w:color w:val="auto"/>
          <w:sz w:val="24"/>
          <w:highlight w:val="none"/>
        </w:rPr>
        <w:t>响应</w:t>
      </w:r>
      <w:r>
        <w:rPr>
          <w:rFonts w:hint="eastAsia"/>
          <w:color w:val="auto"/>
          <w:sz w:val="24"/>
          <w:highlight w:val="none"/>
        </w:rPr>
        <w:t>函</w:t>
      </w:r>
      <w:r>
        <w:rPr>
          <w:color w:val="auto"/>
          <w:sz w:val="24"/>
          <w:szCs w:val="20"/>
          <w:highlight w:val="none"/>
        </w:rPr>
        <w:t>（实质性格式）</w:t>
      </w:r>
    </w:p>
    <w:p w14:paraId="2CD1BFE6">
      <w:pPr>
        <w:spacing w:line="360" w:lineRule="auto"/>
        <w:jc w:val="center"/>
        <w:rPr>
          <w:b/>
          <w:color w:val="auto"/>
          <w:sz w:val="36"/>
          <w:szCs w:val="36"/>
          <w:highlight w:val="none"/>
        </w:rPr>
      </w:pPr>
      <w:r>
        <w:rPr>
          <w:rFonts w:hint="eastAsia"/>
          <w:b/>
          <w:color w:val="auto"/>
          <w:sz w:val="36"/>
          <w:szCs w:val="36"/>
          <w:highlight w:val="none"/>
        </w:rPr>
        <w:t>响应函</w:t>
      </w:r>
    </w:p>
    <w:p w14:paraId="13A41666">
      <w:pPr>
        <w:tabs>
          <w:tab w:val="left" w:pos="5580"/>
        </w:tabs>
        <w:spacing w:line="360" w:lineRule="auto"/>
        <w:rPr>
          <w:color w:val="auto"/>
          <w:sz w:val="24"/>
          <w:szCs w:val="20"/>
          <w:highlight w:val="none"/>
        </w:rPr>
      </w:pPr>
      <w:r>
        <w:rPr>
          <w:color w:val="auto"/>
          <w:sz w:val="24"/>
          <w:highlight w:val="none"/>
        </w:rPr>
        <w:t>致：</w:t>
      </w:r>
      <w:r>
        <w:rPr>
          <w:rFonts w:hint="eastAsia"/>
          <w:color w:val="auto"/>
          <w:sz w:val="24"/>
          <w:highlight w:val="none"/>
        </w:rPr>
        <w:t>常州中宇建设工程管理有限公司</w:t>
      </w:r>
    </w:p>
    <w:p w14:paraId="234AF51A">
      <w:pPr>
        <w:tabs>
          <w:tab w:val="left" w:pos="5580"/>
        </w:tabs>
        <w:spacing w:line="360" w:lineRule="auto"/>
        <w:ind w:firstLine="408"/>
        <w:rPr>
          <w:color w:val="auto"/>
          <w:sz w:val="24"/>
          <w:szCs w:val="20"/>
          <w:highlight w:val="none"/>
        </w:rPr>
      </w:pPr>
      <w:r>
        <w:rPr>
          <w:color w:val="auto"/>
          <w:sz w:val="24"/>
          <w:szCs w:val="20"/>
          <w:highlight w:val="none"/>
        </w:rPr>
        <w:t>我方参加你方就</w:t>
      </w:r>
      <w:r>
        <w:rPr>
          <w:rFonts w:hint="eastAsia"/>
          <w:color w:val="auto"/>
          <w:sz w:val="24"/>
          <w:szCs w:val="20"/>
          <w:highlight w:val="none"/>
          <w:u w:val="single"/>
          <w:lang w:eastAsia="zh-CN"/>
        </w:rPr>
        <w:t>感统训练技术人才引进项目（二次）JSZC-320412-CZZY-C2025-0050</w:t>
      </w:r>
      <w:r>
        <w:rPr>
          <w:color w:val="auto"/>
          <w:sz w:val="24"/>
          <w:szCs w:val="20"/>
          <w:highlight w:val="none"/>
        </w:rPr>
        <w:t>（项目名称，项目编号/包号）组织的</w:t>
      </w:r>
      <w:r>
        <w:rPr>
          <w:rFonts w:hint="eastAsia"/>
          <w:color w:val="auto"/>
          <w:sz w:val="24"/>
          <w:szCs w:val="20"/>
          <w:highlight w:val="none"/>
        </w:rPr>
        <w:t>政府采购</w:t>
      </w:r>
      <w:r>
        <w:rPr>
          <w:color w:val="auto"/>
          <w:sz w:val="24"/>
          <w:szCs w:val="20"/>
          <w:highlight w:val="none"/>
        </w:rPr>
        <w:t>活动，并对此项目进行响应。</w:t>
      </w:r>
    </w:p>
    <w:p w14:paraId="515D9030">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已详细审查全部磋商文件</w:t>
      </w:r>
      <w:r>
        <w:rPr>
          <w:color w:val="auto"/>
          <w:sz w:val="24"/>
          <w:szCs w:val="20"/>
          <w:highlight w:val="none"/>
        </w:rPr>
        <w:t>，自愿参与响应并承诺如下：</w:t>
      </w:r>
    </w:p>
    <w:p w14:paraId="78A118A8">
      <w:pPr>
        <w:tabs>
          <w:tab w:val="left" w:pos="720"/>
          <w:tab w:val="left" w:pos="900"/>
        </w:tabs>
        <w:spacing w:line="360" w:lineRule="auto"/>
        <w:ind w:left="360" w:firstLine="72"/>
        <w:rPr>
          <w:color w:val="auto"/>
          <w:sz w:val="24"/>
          <w:szCs w:val="20"/>
          <w:highlight w:val="none"/>
        </w:rPr>
      </w:pPr>
      <w:r>
        <w:rPr>
          <w:color w:val="auto"/>
          <w:sz w:val="24"/>
          <w:szCs w:val="20"/>
          <w:highlight w:val="none"/>
        </w:rPr>
        <w:t>（1）本响应有效期为自提交响应文件的截止之日起</w:t>
      </w:r>
      <w:r>
        <w:rPr>
          <w:rFonts w:hint="eastAsia"/>
          <w:color w:val="auto"/>
          <w:sz w:val="24"/>
          <w:highlight w:val="none"/>
        </w:rPr>
        <w:t>60</w:t>
      </w:r>
      <w:r>
        <w:rPr>
          <w:color w:val="auto"/>
          <w:sz w:val="24"/>
          <w:szCs w:val="20"/>
          <w:highlight w:val="none"/>
        </w:rPr>
        <w:t>个日历日。</w:t>
      </w:r>
    </w:p>
    <w:p w14:paraId="43B1CA4B">
      <w:pPr>
        <w:tabs>
          <w:tab w:val="left" w:pos="720"/>
          <w:tab w:val="left" w:pos="900"/>
        </w:tabs>
        <w:spacing w:line="360" w:lineRule="auto"/>
        <w:ind w:left="360" w:firstLine="72"/>
        <w:rPr>
          <w:color w:val="auto"/>
          <w:sz w:val="24"/>
          <w:szCs w:val="20"/>
          <w:highlight w:val="none"/>
        </w:rPr>
      </w:pPr>
      <w:r>
        <w:rPr>
          <w:color w:val="auto"/>
          <w:sz w:val="24"/>
          <w:szCs w:val="20"/>
          <w:highlight w:val="none"/>
        </w:rPr>
        <w:t>（2）除合同条款及采购需求偏离表列出的偏离外，我方响应磋商文件的全部要求。</w:t>
      </w:r>
    </w:p>
    <w:p w14:paraId="38029442">
      <w:pPr>
        <w:tabs>
          <w:tab w:val="left" w:pos="5580"/>
        </w:tabs>
        <w:spacing w:line="360" w:lineRule="auto"/>
        <w:ind w:firstLine="420"/>
        <w:rPr>
          <w:color w:val="auto"/>
          <w:sz w:val="24"/>
          <w:szCs w:val="20"/>
          <w:highlight w:val="none"/>
        </w:rPr>
      </w:pPr>
      <w:r>
        <w:rPr>
          <w:color w:val="auto"/>
          <w:sz w:val="24"/>
          <w:szCs w:val="20"/>
          <w:highlight w:val="none"/>
        </w:rPr>
        <w:t>（3）我方已提供的全部文件资料是真实、准确的，并对此承担一切法律后果。</w:t>
      </w:r>
    </w:p>
    <w:p w14:paraId="20621BE5">
      <w:pPr>
        <w:tabs>
          <w:tab w:val="left" w:pos="5580"/>
        </w:tabs>
        <w:spacing w:line="360" w:lineRule="auto"/>
        <w:ind w:firstLine="420"/>
        <w:rPr>
          <w:color w:val="auto"/>
          <w:sz w:val="24"/>
          <w:highlight w:val="none"/>
        </w:rPr>
      </w:pPr>
      <w:r>
        <w:rPr>
          <w:color w:val="auto"/>
          <w:sz w:val="24"/>
          <w:szCs w:val="20"/>
          <w:highlight w:val="none"/>
        </w:rPr>
        <w:t>（4）如我方中标，我方将在法律规定的期限内与你方签订合同，按照磋商文件要求提交履约保证金，并在合同约定的期限内完成合同规定的全部义务。</w:t>
      </w:r>
    </w:p>
    <w:p w14:paraId="5F1901D3">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4E33E15A">
      <w:pPr>
        <w:spacing w:line="360" w:lineRule="auto"/>
        <w:ind w:firstLine="480"/>
        <w:rPr>
          <w:color w:val="auto"/>
          <w:sz w:val="24"/>
          <w:highlight w:val="none"/>
        </w:rPr>
      </w:pPr>
      <w:r>
        <w:rPr>
          <w:color w:val="auto"/>
          <w:sz w:val="24"/>
          <w:highlight w:val="none"/>
        </w:rPr>
        <w:t>与本响应有关的一切正式往来信函请寄：</w:t>
      </w:r>
    </w:p>
    <w:p w14:paraId="658C4DA9">
      <w:pPr>
        <w:tabs>
          <w:tab w:val="left" w:pos="5580"/>
        </w:tabs>
        <w:spacing w:line="360" w:lineRule="auto"/>
        <w:ind w:left="420"/>
        <w:rPr>
          <w:color w:val="auto"/>
          <w:sz w:val="24"/>
          <w:szCs w:val="20"/>
          <w:highlight w:val="none"/>
        </w:rPr>
      </w:pPr>
    </w:p>
    <w:p w14:paraId="53D61CC3">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48DA1BAF">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639FD252">
      <w:pPr>
        <w:tabs>
          <w:tab w:val="left" w:pos="5580"/>
        </w:tabs>
        <w:spacing w:line="360" w:lineRule="auto"/>
        <w:ind w:left="420"/>
        <w:rPr>
          <w:color w:val="auto"/>
          <w:sz w:val="24"/>
          <w:szCs w:val="20"/>
          <w:highlight w:val="none"/>
        </w:rPr>
      </w:pPr>
    </w:p>
    <w:p w14:paraId="05082419">
      <w:pPr>
        <w:tabs>
          <w:tab w:val="left" w:pos="5580"/>
        </w:tabs>
        <w:spacing w:line="360" w:lineRule="auto"/>
        <w:ind w:left="420"/>
        <w:rPr>
          <w:color w:val="auto"/>
          <w:sz w:val="24"/>
          <w:szCs w:val="20"/>
          <w:highlight w:val="none"/>
        </w:rPr>
      </w:pPr>
      <w:r>
        <w:rPr>
          <w:color w:val="auto"/>
          <w:sz w:val="24"/>
          <w:szCs w:val="20"/>
          <w:highlight w:val="none"/>
        </w:rPr>
        <w:t>供应商名称（加盖公章） ___________</w:t>
      </w:r>
    </w:p>
    <w:p w14:paraId="56EF6028">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09AA0AE3">
      <w:pPr>
        <w:tabs>
          <w:tab w:val="left" w:pos="5580"/>
        </w:tabs>
        <w:spacing w:line="360" w:lineRule="auto"/>
        <w:ind w:left="420"/>
        <w:rPr>
          <w:color w:val="auto"/>
          <w:sz w:val="24"/>
          <w:szCs w:val="20"/>
          <w:highlight w:val="none"/>
          <w:u w:val="single"/>
        </w:rPr>
      </w:pPr>
    </w:p>
    <w:p w14:paraId="2CEC5921">
      <w:pPr>
        <w:widowControl/>
        <w:jc w:val="left"/>
        <w:rPr>
          <w:color w:val="auto"/>
          <w:sz w:val="24"/>
          <w:highlight w:val="none"/>
        </w:rPr>
      </w:pPr>
      <w:bookmarkStart w:id="576" w:name="_Hlt520356243"/>
      <w:bookmarkEnd w:id="576"/>
      <w:bookmarkStart w:id="577" w:name="_Hlt520355938"/>
      <w:bookmarkEnd w:id="577"/>
      <w:r>
        <w:rPr>
          <w:color w:val="auto"/>
          <w:sz w:val="24"/>
          <w:highlight w:val="none"/>
        </w:rPr>
        <w:br w:type="page" w:clear="all"/>
      </w:r>
      <w:r>
        <w:rPr>
          <w:rFonts w:hint="eastAsia"/>
          <w:color w:val="auto"/>
          <w:sz w:val="24"/>
          <w:highlight w:val="none"/>
        </w:rPr>
        <w:t>5法定代表人资格证明书</w:t>
      </w:r>
      <w:r>
        <w:rPr>
          <w:color w:val="auto"/>
          <w:sz w:val="24"/>
          <w:szCs w:val="20"/>
          <w:highlight w:val="none"/>
        </w:rPr>
        <w:t>（实质性格式）</w:t>
      </w:r>
    </w:p>
    <w:p w14:paraId="13E6CEF9">
      <w:pPr>
        <w:spacing w:line="360" w:lineRule="auto"/>
        <w:jc w:val="center"/>
        <w:rPr>
          <w:rFonts w:ascii="宋体" w:hAnsi="宋体"/>
          <w:b/>
          <w:color w:val="auto"/>
          <w:sz w:val="32"/>
          <w:szCs w:val="32"/>
          <w:highlight w:val="none"/>
        </w:rPr>
      </w:pPr>
    </w:p>
    <w:p w14:paraId="2F57607C">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法定代表人资格证明书</w:t>
      </w:r>
    </w:p>
    <w:p w14:paraId="7C78CEE0">
      <w:pPr>
        <w:spacing w:line="560" w:lineRule="exact"/>
        <w:rPr>
          <w:rFonts w:ascii="宋体" w:hAnsi="宋体"/>
          <w:color w:val="auto"/>
          <w:sz w:val="24"/>
          <w:highlight w:val="none"/>
        </w:rPr>
      </w:pPr>
      <w:r>
        <w:rPr>
          <w:rFonts w:hint="eastAsia" w:ascii="宋体" w:hAnsi="宋体"/>
          <w:color w:val="auto"/>
          <w:sz w:val="24"/>
          <w:highlight w:val="none"/>
        </w:rPr>
        <w:t>单位名称:</w:t>
      </w:r>
    </w:p>
    <w:p w14:paraId="60A69499">
      <w:pPr>
        <w:spacing w:line="560" w:lineRule="exact"/>
        <w:rPr>
          <w:rFonts w:ascii="宋体" w:hAnsi="宋体"/>
          <w:color w:val="auto"/>
          <w:sz w:val="24"/>
          <w:highlight w:val="none"/>
        </w:rPr>
      </w:pPr>
      <w:r>
        <w:rPr>
          <w:rFonts w:hint="eastAsia" w:ascii="宋体" w:hAnsi="宋体"/>
          <w:color w:val="auto"/>
          <w:sz w:val="24"/>
          <w:highlight w:val="none"/>
        </w:rPr>
        <w:t>地址:</w:t>
      </w:r>
    </w:p>
    <w:p w14:paraId="6C3DD85B">
      <w:pPr>
        <w:spacing w:line="560" w:lineRule="exact"/>
        <w:rPr>
          <w:rFonts w:ascii="宋体" w:hAnsi="宋体"/>
          <w:color w:val="auto"/>
          <w:sz w:val="24"/>
          <w:highlight w:val="none"/>
        </w:rPr>
      </w:pPr>
      <w:r>
        <w:rPr>
          <w:rFonts w:hint="eastAsia" w:ascii="宋体" w:hAnsi="宋体"/>
          <w:color w:val="auto"/>
          <w:sz w:val="24"/>
          <w:highlight w:val="none"/>
        </w:rPr>
        <w:t>姓名:     性别:       年龄:      职务:</w:t>
      </w:r>
    </w:p>
    <w:p w14:paraId="25EAD3EE">
      <w:pPr>
        <w:spacing w:line="560" w:lineRule="exact"/>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（供应商名称）</w:t>
      </w:r>
      <w:r>
        <w:rPr>
          <w:rFonts w:hint="eastAsia" w:ascii="宋体" w:hAnsi="宋体"/>
          <w:color w:val="auto"/>
          <w:sz w:val="24"/>
          <w:highlight w:val="none"/>
        </w:rPr>
        <w:t>的法定代表人。为参与</w:t>
      </w:r>
      <w:r>
        <w:rPr>
          <w:rFonts w:hint="eastAsia"/>
          <w:color w:val="auto"/>
          <w:sz w:val="24"/>
          <w:szCs w:val="20"/>
          <w:highlight w:val="none"/>
          <w:u w:val="single"/>
          <w:lang w:eastAsia="zh-CN"/>
        </w:rPr>
        <w:t>感统训练技术人才引进项目（二次）</w:t>
      </w:r>
      <w:r>
        <w:rPr>
          <w:rFonts w:hint="eastAsia" w:ascii="宋体" w:hAnsi="宋体"/>
          <w:color w:val="auto"/>
          <w:sz w:val="24"/>
          <w:highlight w:val="none"/>
        </w:rPr>
        <w:t>的政府采购活动，</w:t>
      </w:r>
      <w:r>
        <w:rPr>
          <w:rFonts w:ascii="宋体" w:hAnsi="宋体"/>
          <w:color w:val="auto"/>
          <w:sz w:val="24"/>
          <w:szCs w:val="20"/>
          <w:highlight w:val="none"/>
        </w:rPr>
        <w:t>签署、澄清确认、递交、撤回、修改</w:t>
      </w:r>
      <w:r>
        <w:rPr>
          <w:rFonts w:hint="eastAsia" w:ascii="宋体" w:hAnsi="宋体"/>
          <w:color w:val="auto"/>
          <w:sz w:val="24"/>
          <w:highlight w:val="none"/>
        </w:rPr>
        <w:t>上述项目的响应文件、进行合同磋商、签署合同和处理与之有关的一切事务。</w:t>
      </w:r>
    </w:p>
    <w:p w14:paraId="126AD4CC">
      <w:pPr>
        <w:spacing w:line="560" w:lineRule="exact"/>
        <w:rPr>
          <w:rFonts w:ascii="宋体" w:hAnsi="宋体"/>
          <w:color w:val="auto"/>
          <w:sz w:val="24"/>
          <w:highlight w:val="none"/>
        </w:rPr>
      </w:pPr>
      <w:r>
        <w:rPr>
          <w:rFonts w:hint="eastAsia" w:ascii="宋体" w:hAnsi="宋体"/>
          <w:color w:val="auto"/>
          <w:sz w:val="24"/>
          <w:highlight w:val="none"/>
        </w:rPr>
        <w:t>特此证明。</w:t>
      </w:r>
    </w:p>
    <w:p w14:paraId="6558864A">
      <w:pPr>
        <w:spacing w:line="560" w:lineRule="exact"/>
        <w:rPr>
          <w:rFonts w:ascii="宋体" w:hAnsi="宋体"/>
          <w:color w:val="auto"/>
          <w:sz w:val="24"/>
          <w:highlight w:val="none"/>
        </w:rPr>
      </w:pPr>
    </w:p>
    <w:p w14:paraId="7CC645B8">
      <w:pPr>
        <w:pStyle w:val="249"/>
        <w:spacing w:line="583"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38"/>
        <w:tblW w:w="9675"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5"/>
        <w:gridCol w:w="4890"/>
      </w:tblGrid>
      <w:tr w14:paraId="30152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785" w:type="dxa"/>
            <w:noWrap w:val="0"/>
          </w:tcPr>
          <w:p w14:paraId="4B2720B4">
            <w:pPr>
              <w:tabs>
                <w:tab w:val="left" w:pos="5580"/>
              </w:tabs>
              <w:spacing w:line="360" w:lineRule="auto"/>
              <w:jc w:val="left"/>
              <w:rPr>
                <w:rFonts w:ascii="宋体" w:hAnsi="宋体"/>
                <w:color w:val="auto"/>
                <w:sz w:val="24"/>
                <w:szCs w:val="20"/>
                <w:highlight w:val="none"/>
              </w:rPr>
            </w:pPr>
          </w:p>
          <w:p w14:paraId="7E70C1CE">
            <w:pPr>
              <w:tabs>
                <w:tab w:val="left" w:pos="5580"/>
              </w:tabs>
              <w:spacing w:line="360" w:lineRule="auto"/>
              <w:jc w:val="left"/>
              <w:rPr>
                <w:rFonts w:ascii="宋体" w:hAnsi="宋体"/>
                <w:color w:val="auto"/>
                <w:sz w:val="24"/>
                <w:szCs w:val="20"/>
                <w:highlight w:val="none"/>
              </w:rPr>
            </w:pPr>
          </w:p>
          <w:p w14:paraId="5BB69363">
            <w:pPr>
              <w:tabs>
                <w:tab w:val="left" w:pos="5580"/>
              </w:tabs>
              <w:spacing w:line="360" w:lineRule="auto"/>
              <w:jc w:val="left"/>
              <w:rPr>
                <w:rFonts w:ascii="宋体" w:hAnsi="宋体"/>
                <w:color w:val="auto"/>
                <w:sz w:val="24"/>
                <w:szCs w:val="20"/>
                <w:highlight w:val="none"/>
              </w:rPr>
            </w:pPr>
          </w:p>
        </w:tc>
        <w:tc>
          <w:tcPr>
            <w:tcW w:w="4890" w:type="dxa"/>
            <w:noWrap w:val="0"/>
          </w:tcPr>
          <w:p w14:paraId="609A9F54">
            <w:pPr>
              <w:tabs>
                <w:tab w:val="left" w:pos="5580"/>
              </w:tabs>
              <w:spacing w:line="360" w:lineRule="auto"/>
              <w:jc w:val="left"/>
              <w:rPr>
                <w:rFonts w:ascii="宋体" w:hAnsi="宋体"/>
                <w:color w:val="auto"/>
                <w:sz w:val="24"/>
                <w:szCs w:val="20"/>
                <w:highlight w:val="none"/>
              </w:rPr>
            </w:pPr>
          </w:p>
          <w:p w14:paraId="3E2E2AC9">
            <w:pPr>
              <w:tabs>
                <w:tab w:val="left" w:pos="5580"/>
              </w:tabs>
              <w:spacing w:line="360" w:lineRule="auto"/>
              <w:jc w:val="left"/>
              <w:rPr>
                <w:rFonts w:ascii="宋体" w:hAnsi="宋体"/>
                <w:color w:val="auto"/>
                <w:sz w:val="24"/>
                <w:szCs w:val="20"/>
                <w:highlight w:val="none"/>
              </w:rPr>
            </w:pPr>
          </w:p>
          <w:p w14:paraId="4AA54E61">
            <w:pPr>
              <w:tabs>
                <w:tab w:val="left" w:pos="5580"/>
              </w:tabs>
              <w:spacing w:line="360" w:lineRule="auto"/>
              <w:jc w:val="left"/>
              <w:rPr>
                <w:rFonts w:ascii="宋体" w:hAnsi="宋体"/>
                <w:color w:val="auto"/>
                <w:sz w:val="24"/>
                <w:szCs w:val="20"/>
                <w:highlight w:val="none"/>
              </w:rPr>
            </w:pPr>
          </w:p>
        </w:tc>
      </w:tr>
    </w:tbl>
    <w:p w14:paraId="65F1B242">
      <w:pPr>
        <w:spacing w:line="560" w:lineRule="exact"/>
        <w:rPr>
          <w:rFonts w:ascii="宋体" w:hAnsi="宋体"/>
          <w:color w:val="auto"/>
          <w:sz w:val="24"/>
          <w:highlight w:val="none"/>
        </w:rPr>
      </w:pPr>
      <w:r>
        <w:rPr>
          <w:rFonts w:hint="eastAsia" w:ascii="宋体" w:hAnsi="宋体"/>
          <w:color w:val="auto"/>
          <w:sz w:val="24"/>
          <w:highlight w:val="none"/>
        </w:rPr>
        <w:t>                     供应商：（加盖公章）</w:t>
      </w:r>
    </w:p>
    <w:p w14:paraId="60F0F22C">
      <w:pPr>
        <w:spacing w:line="560" w:lineRule="exact"/>
        <w:rPr>
          <w:rFonts w:ascii="宋体" w:hAnsi="宋体"/>
          <w:color w:val="auto"/>
          <w:sz w:val="24"/>
          <w:highlight w:val="none"/>
        </w:rPr>
      </w:pPr>
      <w:r>
        <w:rPr>
          <w:rFonts w:hint="eastAsia" w:ascii="宋体" w:hAnsi="宋体"/>
          <w:color w:val="auto"/>
          <w:sz w:val="24"/>
          <w:highlight w:val="none"/>
        </w:rPr>
        <w:t>                       法定代表人</w:t>
      </w:r>
      <w:r>
        <w:rPr>
          <w:rFonts w:ascii="宋体" w:hAnsi="宋体"/>
          <w:color w:val="auto"/>
          <w:sz w:val="24"/>
          <w:szCs w:val="20"/>
          <w:highlight w:val="none"/>
        </w:rPr>
        <w:t>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p>
    <w:p w14:paraId="42FD590D">
      <w:pPr>
        <w:spacing w:line="560" w:lineRule="exact"/>
        <w:ind w:firstLine="4320"/>
        <w:rPr>
          <w:rFonts w:ascii="宋体" w:hAnsi="宋体"/>
          <w:color w:val="auto"/>
          <w:sz w:val="24"/>
          <w:highlight w:val="none"/>
        </w:rPr>
      </w:pPr>
      <w:r>
        <w:rPr>
          <w:rFonts w:hint="eastAsia" w:ascii="宋体" w:hAnsi="宋体"/>
          <w:color w:val="auto"/>
          <w:sz w:val="24"/>
          <w:highlight w:val="none"/>
        </w:rPr>
        <w:t>日期：    年    月    日</w:t>
      </w:r>
    </w:p>
    <w:p w14:paraId="6D6546F0">
      <w:pPr>
        <w:widowControl/>
        <w:jc w:val="left"/>
        <w:rPr>
          <w:color w:val="auto"/>
          <w:sz w:val="24"/>
          <w:highlight w:val="none"/>
        </w:rPr>
      </w:pPr>
    </w:p>
    <w:p w14:paraId="6C3851A7">
      <w:pPr>
        <w:widowControl/>
        <w:jc w:val="left"/>
        <w:rPr>
          <w:color w:val="auto"/>
          <w:sz w:val="24"/>
          <w:highlight w:val="none"/>
        </w:rPr>
      </w:pPr>
    </w:p>
    <w:p w14:paraId="26693E7E">
      <w:pPr>
        <w:widowControl/>
        <w:jc w:val="left"/>
        <w:rPr>
          <w:color w:val="auto"/>
          <w:sz w:val="24"/>
          <w:highlight w:val="none"/>
        </w:rPr>
      </w:pPr>
    </w:p>
    <w:p w14:paraId="738209A9">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6EEF3488">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磋商文件</w:t>
      </w:r>
      <w:r>
        <w:rPr>
          <w:rFonts w:ascii="宋体" w:hAnsi="宋体"/>
          <w:color w:val="auto"/>
          <w:sz w:val="24"/>
          <w:szCs w:val="20"/>
          <w:highlight w:val="none"/>
        </w:rPr>
        <w:t>注明允许分支机构</w:t>
      </w:r>
      <w:r>
        <w:rPr>
          <w:rFonts w:hint="eastAsia" w:ascii="宋体" w:hAnsi="宋体"/>
          <w:color w:val="auto"/>
          <w:sz w:val="24"/>
          <w:szCs w:val="20"/>
          <w:highlight w:val="none"/>
        </w:rPr>
        <w:t>响应</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0AB039F1">
      <w:pPr>
        <w:tabs>
          <w:tab w:val="left" w:pos="5580"/>
        </w:tabs>
        <w:spacing w:line="360" w:lineRule="auto"/>
        <w:jc w:val="left"/>
        <w:rPr>
          <w:rFonts w:ascii="宋体" w:hAnsi="宋体"/>
          <w:i/>
          <w:color w:val="auto"/>
          <w:sz w:val="24"/>
          <w:szCs w:val="20"/>
          <w:highlight w:val="none"/>
          <w:u w:val="singl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法定代表人资格证明书</w:t>
      </w:r>
      <w:r>
        <w:rPr>
          <w:rFonts w:ascii="宋体" w:hAnsi="宋体"/>
          <w:color w:val="auto"/>
          <w:sz w:val="24"/>
          <w:szCs w:val="20"/>
          <w:highlight w:val="none"/>
        </w:rPr>
        <w:t>》</w:t>
      </w:r>
      <w:r>
        <w:rPr>
          <w:rFonts w:hint="eastAsia" w:ascii="宋体" w:hAnsi="宋体"/>
          <w:color w:val="auto"/>
          <w:sz w:val="24"/>
          <w:szCs w:val="20"/>
          <w:highlight w:val="none"/>
        </w:rPr>
        <w:t>。</w:t>
      </w:r>
    </w:p>
    <w:p w14:paraId="4FB81F4A">
      <w:pPr>
        <w:widowControl/>
        <w:jc w:val="left"/>
        <w:rPr>
          <w:color w:val="auto"/>
          <w:sz w:val="24"/>
          <w:highlight w:val="none"/>
        </w:rPr>
      </w:pPr>
    </w:p>
    <w:p w14:paraId="4343E323">
      <w:pPr>
        <w:widowControl/>
        <w:jc w:val="left"/>
        <w:rPr>
          <w:color w:val="auto"/>
          <w:sz w:val="24"/>
          <w:highlight w:val="none"/>
        </w:rPr>
      </w:pPr>
    </w:p>
    <w:p w14:paraId="1C4407F5">
      <w:pPr>
        <w:widowControl/>
        <w:jc w:val="left"/>
        <w:rPr>
          <w:color w:val="auto"/>
          <w:sz w:val="24"/>
          <w:highlight w:val="none"/>
        </w:rPr>
      </w:pPr>
    </w:p>
    <w:p w14:paraId="059021B9">
      <w:pPr>
        <w:widowControl/>
        <w:jc w:val="left"/>
        <w:rPr>
          <w:color w:val="auto"/>
          <w:sz w:val="24"/>
          <w:highlight w:val="none"/>
        </w:rPr>
      </w:pPr>
    </w:p>
    <w:p w14:paraId="0879402B">
      <w:pPr>
        <w:widowControl/>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 授权委托书（实质性格式）</w:t>
      </w:r>
    </w:p>
    <w:p w14:paraId="47F9CD8C">
      <w:pPr>
        <w:jc w:val="center"/>
        <w:rPr>
          <w:rFonts w:hint="eastAsia" w:ascii="宋体" w:hAnsi="宋体"/>
          <w:b/>
          <w:color w:val="auto"/>
          <w:sz w:val="32"/>
          <w:szCs w:val="32"/>
          <w:highlight w:val="none"/>
        </w:rPr>
      </w:pPr>
    </w:p>
    <w:p w14:paraId="3041C995">
      <w:pPr>
        <w:pStyle w:val="276"/>
        <w:spacing w:line="480" w:lineRule="auto"/>
        <w:jc w:val="center"/>
        <w:rPr>
          <w:rFonts w:cs="宋体"/>
          <w:color w:val="auto"/>
          <w:sz w:val="24"/>
          <w:highlight w:val="none"/>
        </w:rPr>
      </w:pPr>
      <w:r>
        <w:rPr>
          <w:rFonts w:hint="eastAsia"/>
          <w:b/>
          <w:color w:val="auto"/>
          <w:sz w:val="36"/>
          <w:szCs w:val="36"/>
          <w:highlight w:val="none"/>
        </w:rPr>
        <w:t>授权委托书</w:t>
      </w:r>
    </w:p>
    <w:p w14:paraId="38A0A16C">
      <w:pPr>
        <w:spacing w:line="360" w:lineRule="auto"/>
        <w:ind w:firstLine="516"/>
        <w:rPr>
          <w:rFonts w:ascii="宋体" w:hAnsi="宋体" w:cs="宋体"/>
          <w:color w:val="auto"/>
          <w:sz w:val="24"/>
          <w:highlight w:val="none"/>
        </w:rPr>
      </w:pPr>
      <w:r>
        <w:rPr>
          <w:rFonts w:hint="eastAsia" w:ascii="宋体" w:hAnsi="宋体" w:cs="宋体"/>
          <w:color w:val="auto"/>
          <w:sz w:val="24"/>
          <w:highlight w:val="none"/>
        </w:rPr>
        <w:t>本授权委托书声明：我 ___________(姓名)（身份证号码：________________）系_________________（供应商名称）的法定代表人，现授权委托__________________（被授权人的姓名、职务）（身份证号码：___________）为本次磋商中我单位的合法代理人，全权负责参加本次项目的磋商、签订合同以及与之相关的各项工作。本供应商对被授权人的签名负全部责任。</w:t>
      </w:r>
    </w:p>
    <w:p w14:paraId="1F5DB1D8">
      <w:pPr>
        <w:spacing w:line="360" w:lineRule="auto"/>
        <w:ind w:firstLine="516"/>
        <w:rPr>
          <w:rFonts w:ascii="宋体" w:hAnsi="宋体" w:cs="宋体"/>
          <w:color w:val="auto"/>
          <w:sz w:val="24"/>
          <w:highlight w:val="none"/>
        </w:rPr>
      </w:pPr>
      <w:r>
        <w:rPr>
          <w:rFonts w:hint="eastAsia" w:ascii="宋体" w:hAnsi="宋体" w:cs="宋体"/>
          <w:color w:val="auto"/>
          <w:sz w:val="24"/>
          <w:highlight w:val="none"/>
        </w:rPr>
        <w:t>本授权书于__________年_______月________日签字或盖章生效，特此声明。</w:t>
      </w:r>
    </w:p>
    <w:p w14:paraId="3F09E8AD">
      <w:pPr>
        <w:spacing w:line="400" w:lineRule="exact"/>
        <w:rPr>
          <w:rFonts w:hint="eastAsia" w:ascii="宋体" w:hAnsi="宋体" w:cs="宋体"/>
          <w:color w:val="auto"/>
          <w:szCs w:val="21"/>
          <w:highlight w:val="none"/>
        </w:rPr>
      </w:pPr>
    </w:p>
    <w:p w14:paraId="73A28C1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52E20549">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hint="eastAsia" w:ascii="宋体" w:hAnsi="宋体"/>
          <w:color w:val="auto"/>
          <w:sz w:val="24"/>
          <w:highlight w:val="none"/>
        </w:rPr>
        <w:t>：</w:t>
      </w:r>
      <w:r>
        <w:rPr>
          <w:rFonts w:hint="eastAsia" w:ascii="宋体" w:hAnsi="宋体" w:cs="宋体"/>
          <w:color w:val="auto"/>
          <w:sz w:val="24"/>
          <w:highlight w:val="none"/>
        </w:rPr>
        <w:t xml:space="preserve">                      联系电话：</w:t>
      </w:r>
    </w:p>
    <w:p w14:paraId="1F93D6F3">
      <w:pPr>
        <w:pStyle w:val="443"/>
        <w:spacing w:line="360" w:lineRule="auto"/>
        <w:rPr>
          <w:rFonts w:ascii="宋体" w:hAnsi="宋体" w:cs="宋体"/>
          <w:color w:val="auto"/>
          <w:highlight w:val="none"/>
        </w:rPr>
      </w:pPr>
      <w:r>
        <w:rPr>
          <w:rFonts w:hint="eastAsia" w:ascii="宋体" w:hAnsi="宋体" w:cs="宋体"/>
          <w:color w:val="auto"/>
          <w:highlight w:val="none"/>
        </w:rPr>
        <w:t>日期：</w:t>
      </w:r>
    </w:p>
    <w:p w14:paraId="195E410B">
      <w:pPr>
        <w:spacing w:line="400" w:lineRule="exact"/>
        <w:rPr>
          <w:rFonts w:ascii="宋体" w:hAnsi="宋体" w:cs="宋体"/>
          <w:color w:val="auto"/>
          <w:sz w:val="24"/>
          <w:highlight w:val="none"/>
        </w:rPr>
      </w:pPr>
    </w:p>
    <w:p w14:paraId="0C483A6E">
      <w:pPr>
        <w:spacing w:line="400" w:lineRule="exact"/>
        <w:rPr>
          <w:rFonts w:ascii="宋体" w:hAnsi="宋体" w:cs="宋体"/>
          <w:color w:val="auto"/>
          <w:sz w:val="24"/>
          <w:highlight w:val="none"/>
        </w:rPr>
      </w:pPr>
      <w:r>
        <w:rPr>
          <w:rFonts w:hint="eastAsia" w:ascii="宋体" w:hAnsi="宋体" w:cs="宋体"/>
          <w:color w:val="auto"/>
          <w:sz w:val="24"/>
          <w:highlight w:val="none"/>
        </w:rPr>
        <w:t>委托代理人（被授权人）签字或盖章：           联系电话：</w:t>
      </w:r>
    </w:p>
    <w:p w14:paraId="107B9774">
      <w:pPr>
        <w:spacing w:line="400" w:lineRule="exact"/>
        <w:rPr>
          <w:rFonts w:ascii="宋体" w:hAnsi="宋体" w:cs="宋体"/>
          <w:color w:val="auto"/>
          <w:sz w:val="24"/>
          <w:highlight w:val="none"/>
        </w:rPr>
      </w:pPr>
      <w:r>
        <w:rPr>
          <w:rFonts w:hint="eastAsia" w:ascii="宋体" w:hAnsi="宋体" w:cs="宋体"/>
          <w:color w:val="auto"/>
          <w:sz w:val="24"/>
          <w:highlight w:val="none"/>
        </w:rPr>
        <w:t>日期：</w:t>
      </w:r>
    </w:p>
    <w:p w14:paraId="5FAB8528">
      <w:pPr>
        <w:spacing w:line="400" w:lineRule="exact"/>
        <w:rPr>
          <w:rFonts w:ascii="宋体" w:hAnsi="宋体" w:cs="宋体"/>
          <w:color w:val="auto"/>
          <w:sz w:val="24"/>
          <w:highlight w:val="none"/>
        </w:rPr>
      </w:pPr>
    </w:p>
    <w:p w14:paraId="589631D5">
      <w:pPr>
        <w:pStyle w:val="89"/>
        <w:spacing w:line="583" w:lineRule="auto"/>
        <w:ind w:right="-46"/>
        <w:rPr>
          <w:b/>
          <w:bCs/>
          <w:color w:val="auto"/>
          <w:spacing w:val="-3"/>
          <w:highlight w:val="none"/>
        </w:rPr>
      </w:pPr>
      <w:r>
        <w:rPr>
          <w:b/>
          <w:bCs/>
          <w:color w:val="auto"/>
          <w:highlight w:val="none"/>
        </w:rPr>
        <w:t>附：</w:t>
      </w:r>
      <w:r>
        <w:rPr>
          <w:rFonts w:hint="eastAsia" w:cs="宋体"/>
          <w:b/>
          <w:bCs/>
          <w:color w:val="auto"/>
          <w:highlight w:val="none"/>
        </w:rPr>
        <w:t>委托代理人（被授权人）</w:t>
      </w:r>
      <w:r>
        <w:rPr>
          <w:b/>
          <w:bCs/>
          <w:color w:val="auto"/>
          <w:spacing w:val="-3"/>
          <w:highlight w:val="none"/>
        </w:rPr>
        <w:t>有效期内的身</w:t>
      </w:r>
      <w:r>
        <w:rPr>
          <w:rFonts w:hint="eastAsia"/>
          <w:b/>
          <w:bCs/>
          <w:color w:val="auto"/>
          <w:spacing w:val="-3"/>
          <w:highlight w:val="none"/>
        </w:rPr>
        <w:t>份</w:t>
      </w:r>
      <w:r>
        <w:rPr>
          <w:b/>
          <w:bCs/>
          <w:color w:val="auto"/>
          <w:spacing w:val="-3"/>
          <w:highlight w:val="none"/>
        </w:rPr>
        <w:t>证正反面</w:t>
      </w:r>
      <w:r>
        <w:rPr>
          <w:rFonts w:hint="eastAsia"/>
          <w:b/>
          <w:bCs/>
          <w:color w:val="auto"/>
          <w:spacing w:val="-3"/>
          <w:highlight w:val="none"/>
        </w:rPr>
        <w:t>。</w:t>
      </w:r>
    </w:p>
    <w:tbl>
      <w:tblPr>
        <w:tblStyle w:val="38"/>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48F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C1AC8FD">
            <w:pPr>
              <w:tabs>
                <w:tab w:val="left" w:pos="5580"/>
              </w:tabs>
              <w:spacing w:line="360" w:lineRule="auto"/>
              <w:jc w:val="left"/>
              <w:rPr>
                <w:rFonts w:ascii="宋体" w:hAnsi="宋体"/>
                <w:color w:val="auto"/>
                <w:szCs w:val="21"/>
                <w:highlight w:val="none"/>
              </w:rPr>
            </w:pPr>
          </w:p>
          <w:p w14:paraId="1F71358B">
            <w:pPr>
              <w:tabs>
                <w:tab w:val="left" w:pos="5580"/>
              </w:tabs>
              <w:spacing w:line="360" w:lineRule="auto"/>
              <w:jc w:val="left"/>
              <w:rPr>
                <w:rFonts w:ascii="宋体" w:hAnsi="宋体"/>
                <w:color w:val="auto"/>
                <w:szCs w:val="21"/>
                <w:highlight w:val="none"/>
              </w:rPr>
            </w:pPr>
          </w:p>
          <w:p w14:paraId="0D5BF749">
            <w:pPr>
              <w:tabs>
                <w:tab w:val="left" w:pos="5580"/>
              </w:tabs>
              <w:spacing w:line="360" w:lineRule="auto"/>
              <w:jc w:val="left"/>
              <w:rPr>
                <w:rFonts w:ascii="宋体" w:hAnsi="宋体"/>
                <w:color w:val="auto"/>
                <w:szCs w:val="21"/>
                <w:highlight w:val="none"/>
              </w:rPr>
            </w:pPr>
          </w:p>
        </w:tc>
        <w:tc>
          <w:tcPr>
            <w:tcW w:w="4536" w:type="dxa"/>
            <w:noWrap w:val="0"/>
            <w:vAlign w:val="top"/>
          </w:tcPr>
          <w:p w14:paraId="0377EAEC">
            <w:pPr>
              <w:tabs>
                <w:tab w:val="left" w:pos="5580"/>
              </w:tabs>
              <w:spacing w:line="360" w:lineRule="auto"/>
              <w:jc w:val="left"/>
              <w:rPr>
                <w:rFonts w:ascii="宋体" w:hAnsi="宋体"/>
                <w:color w:val="auto"/>
                <w:szCs w:val="21"/>
                <w:highlight w:val="none"/>
              </w:rPr>
            </w:pPr>
          </w:p>
          <w:p w14:paraId="400A4643">
            <w:pPr>
              <w:tabs>
                <w:tab w:val="left" w:pos="5580"/>
              </w:tabs>
              <w:spacing w:line="360" w:lineRule="auto"/>
              <w:jc w:val="left"/>
              <w:rPr>
                <w:rFonts w:ascii="宋体" w:hAnsi="宋体"/>
                <w:color w:val="auto"/>
                <w:szCs w:val="21"/>
                <w:highlight w:val="none"/>
              </w:rPr>
            </w:pPr>
          </w:p>
          <w:p w14:paraId="4CD0061B">
            <w:pPr>
              <w:tabs>
                <w:tab w:val="left" w:pos="5580"/>
              </w:tabs>
              <w:spacing w:line="360" w:lineRule="auto"/>
              <w:jc w:val="left"/>
              <w:rPr>
                <w:rFonts w:ascii="宋体" w:hAnsi="宋体"/>
                <w:color w:val="auto"/>
                <w:szCs w:val="21"/>
                <w:highlight w:val="none"/>
              </w:rPr>
            </w:pPr>
          </w:p>
        </w:tc>
      </w:tr>
    </w:tbl>
    <w:p w14:paraId="54975F22">
      <w:pPr>
        <w:spacing w:line="360" w:lineRule="auto"/>
        <w:rPr>
          <w:rFonts w:hint="eastAsia" w:ascii="宋体" w:hAnsi="宋体" w:cs="宋体"/>
          <w:color w:val="auto"/>
          <w:szCs w:val="21"/>
          <w:highlight w:val="none"/>
        </w:rPr>
      </w:pPr>
    </w:p>
    <w:p w14:paraId="4A01F34A">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14:paraId="29D345C7">
      <w:pPr>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1.法定代表人参加磋商时，不需要提供本授权委托书，需提供本人身份证。</w:t>
      </w:r>
    </w:p>
    <w:p w14:paraId="7BFCA2B7">
      <w:pPr>
        <w:rPr>
          <w:rFonts w:hint="eastAsia" w:ascii="宋体" w:hAnsi="宋体" w:cs="宋体"/>
          <w:color w:val="auto"/>
          <w:szCs w:val="21"/>
          <w:highlight w:val="none"/>
        </w:rPr>
      </w:pPr>
      <w:r>
        <w:rPr>
          <w:rFonts w:hint="eastAsia" w:ascii="宋体" w:hAnsi="宋体" w:cs="宋体"/>
          <w:color w:val="auto"/>
          <w:szCs w:val="21"/>
          <w:highlight w:val="none"/>
        </w:rPr>
        <w:t>2.委托代理人参加磋商时，需提供本授权委托书和本人身份证。</w:t>
      </w:r>
    </w:p>
    <w:p w14:paraId="3787337D">
      <w:pPr>
        <w:pStyle w:val="276"/>
        <w:spacing w:line="360" w:lineRule="exact"/>
        <w:rPr>
          <w:rFonts w:cs="宋体"/>
          <w:color w:val="auto"/>
          <w:sz w:val="21"/>
          <w:szCs w:val="21"/>
          <w:highlight w:val="none"/>
        </w:rPr>
      </w:pPr>
      <w:r>
        <w:rPr>
          <w:rFonts w:hint="eastAsia" w:cs="宋体"/>
          <w:color w:val="auto"/>
          <w:sz w:val="21"/>
          <w:szCs w:val="21"/>
          <w:highlight w:val="none"/>
        </w:rPr>
        <w:t>3.供应商为自然人的情形，可不提供本《授权委托书》。</w:t>
      </w:r>
    </w:p>
    <w:p w14:paraId="746A8BA7">
      <w:pPr>
        <w:widowControl/>
        <w:jc w:val="left"/>
        <w:rPr>
          <w:rFonts w:hint="default"/>
          <w:color w:val="auto"/>
          <w:sz w:val="24"/>
          <w:highlight w:val="none"/>
          <w:lang w:val="en-US"/>
        </w:rPr>
      </w:pPr>
    </w:p>
    <w:p w14:paraId="6ABE4D87">
      <w:pPr>
        <w:widowControl/>
        <w:jc w:val="left"/>
        <w:rPr>
          <w:rFonts w:hint="default"/>
          <w:color w:val="auto"/>
          <w:sz w:val="24"/>
          <w:highlight w:val="none"/>
          <w:lang w:val="en-US"/>
        </w:rPr>
      </w:pPr>
    </w:p>
    <w:p w14:paraId="6329C597">
      <w:pPr>
        <w:widowControl/>
        <w:jc w:val="left"/>
        <w:rPr>
          <w:rFonts w:hint="default"/>
          <w:color w:val="auto"/>
          <w:sz w:val="24"/>
          <w:highlight w:val="none"/>
          <w:lang w:val="en-US"/>
        </w:rPr>
      </w:pPr>
    </w:p>
    <w:p w14:paraId="1418DE4A">
      <w:pPr>
        <w:widowControl/>
        <w:jc w:val="left"/>
        <w:rPr>
          <w:rFonts w:hint="default"/>
          <w:color w:val="auto"/>
          <w:sz w:val="24"/>
          <w:highlight w:val="none"/>
          <w:lang w:val="en-US"/>
        </w:rPr>
      </w:pPr>
    </w:p>
    <w:p w14:paraId="19521BEA">
      <w:pPr>
        <w:widowControl/>
        <w:jc w:val="left"/>
        <w:rPr>
          <w:rFonts w:hint="default"/>
          <w:color w:val="auto"/>
          <w:sz w:val="24"/>
          <w:highlight w:val="none"/>
          <w:lang w:val="en-US"/>
        </w:rPr>
      </w:pPr>
    </w:p>
    <w:p w14:paraId="4BA90079">
      <w:pPr>
        <w:widowControl/>
        <w:jc w:val="left"/>
        <w:rPr>
          <w:rFonts w:hint="default"/>
          <w:color w:val="auto"/>
          <w:sz w:val="24"/>
          <w:highlight w:val="none"/>
          <w:lang w:val="en-US"/>
        </w:rPr>
      </w:pPr>
    </w:p>
    <w:p w14:paraId="4FF8D1FB">
      <w:pPr>
        <w:widowControl/>
        <w:jc w:val="left"/>
        <w:rPr>
          <w:rFonts w:hint="default"/>
          <w:color w:val="auto"/>
          <w:sz w:val="24"/>
          <w:highlight w:val="none"/>
          <w:lang w:val="en-US"/>
        </w:rPr>
      </w:pPr>
    </w:p>
    <w:p w14:paraId="10287B47">
      <w:pPr>
        <w:widowControl/>
        <w:jc w:val="left"/>
        <w:rPr>
          <w:color w:val="auto"/>
          <w:sz w:val="24"/>
          <w:highlight w:val="none"/>
        </w:rPr>
      </w:pPr>
      <w:r>
        <w:rPr>
          <w:rFonts w:hint="eastAsia"/>
          <w:color w:val="auto"/>
          <w:sz w:val="24"/>
          <w:highlight w:val="none"/>
          <w:lang w:val="en-US" w:eastAsia="zh-CN"/>
        </w:rPr>
        <w:t>7</w:t>
      </w:r>
      <w:r>
        <w:rPr>
          <w:rFonts w:hint="eastAsia"/>
          <w:color w:val="auto"/>
          <w:sz w:val="24"/>
          <w:highlight w:val="none"/>
        </w:rPr>
        <w:t xml:space="preserve">  政府采购供应商信用承诺书</w:t>
      </w:r>
      <w:r>
        <w:rPr>
          <w:color w:val="auto"/>
          <w:sz w:val="24"/>
          <w:szCs w:val="20"/>
          <w:highlight w:val="none"/>
        </w:rPr>
        <w:t>（实质性格式）</w:t>
      </w:r>
    </w:p>
    <w:p w14:paraId="59D7C0BF">
      <w:pPr>
        <w:spacing w:line="560" w:lineRule="exact"/>
        <w:ind w:firstLine="321"/>
        <w:jc w:val="center"/>
        <w:rPr>
          <w:rFonts w:ascii="黑体" w:hAnsi="黑体" w:eastAsia="黑体"/>
          <w:b/>
          <w:color w:val="auto"/>
          <w:sz w:val="32"/>
          <w:szCs w:val="32"/>
          <w:highlight w:val="none"/>
        </w:rPr>
      </w:pPr>
    </w:p>
    <w:p w14:paraId="6A33B65B">
      <w:pPr>
        <w:spacing w:line="560" w:lineRule="exact"/>
        <w:ind w:firstLine="321"/>
        <w:jc w:val="center"/>
        <w:rPr>
          <w:rFonts w:ascii="黑体" w:hAnsi="黑体" w:eastAsia="黑体"/>
          <w:b/>
          <w:color w:val="auto"/>
          <w:sz w:val="32"/>
          <w:szCs w:val="32"/>
          <w:highlight w:val="none"/>
        </w:rPr>
      </w:pPr>
      <w:r>
        <w:rPr>
          <w:rFonts w:hint="eastAsia" w:ascii="黑体" w:hAnsi="黑体" w:eastAsia="黑体"/>
          <w:b/>
          <w:color w:val="auto"/>
          <w:sz w:val="32"/>
          <w:szCs w:val="32"/>
          <w:highlight w:val="none"/>
        </w:rPr>
        <w:t>政府采购供应商信用承诺书</w:t>
      </w:r>
    </w:p>
    <w:p w14:paraId="5B660C19">
      <w:pPr>
        <w:ind w:firstLine="640"/>
        <w:rPr>
          <w:color w:val="auto"/>
          <w:highlight w:val="none"/>
        </w:rPr>
      </w:pPr>
    </w:p>
    <w:p w14:paraId="56ABE504">
      <w:pPr>
        <w:spacing w:line="276" w:lineRule="auto"/>
        <w:ind w:firstLine="480"/>
        <w:rPr>
          <w:rFonts w:ascii="宋体" w:hAnsi="宋体"/>
          <w:color w:val="auto"/>
          <w:sz w:val="24"/>
          <w:highlight w:val="none"/>
        </w:rPr>
      </w:pPr>
      <w:r>
        <w:rPr>
          <w:rFonts w:hint="eastAsia" w:ascii="宋体" w:hAnsi="宋体"/>
          <w:color w:val="auto"/>
          <w:sz w:val="24"/>
          <w:highlight w:val="none"/>
        </w:rPr>
        <w:t>为维护公开、公平、公正的政府采购市场秩序，树立诚实守信的供应商形象，本单位在参与政府采购活动中,自愿作出以下承诺：</w:t>
      </w:r>
    </w:p>
    <w:p w14:paraId="1708F33F">
      <w:pPr>
        <w:spacing w:line="276" w:lineRule="auto"/>
        <w:ind w:firstLine="480"/>
        <w:rPr>
          <w:rFonts w:ascii="宋体" w:hAnsi="宋体"/>
          <w:color w:val="auto"/>
          <w:sz w:val="24"/>
          <w:highlight w:val="none"/>
        </w:rPr>
      </w:pPr>
      <w:r>
        <w:rPr>
          <w:rFonts w:hint="eastAsia" w:ascii="宋体" w:hAnsi="宋体"/>
          <w:color w:val="auto"/>
          <w:sz w:val="24"/>
          <w:highlight w:val="none"/>
        </w:rPr>
        <w:t>一、严格遵守国家法律、法规和规章，全面履行应尽的责任和义务，全面做到履约守信，具备《政府采购法》第二十二条第一款规定的条件。</w:t>
      </w:r>
    </w:p>
    <w:p w14:paraId="48AFB9AD">
      <w:pPr>
        <w:spacing w:line="276" w:lineRule="auto"/>
        <w:ind w:firstLine="480"/>
        <w:rPr>
          <w:rFonts w:ascii="宋体" w:hAnsi="宋体"/>
          <w:color w:val="auto"/>
          <w:sz w:val="24"/>
          <w:highlight w:val="none"/>
        </w:rPr>
      </w:pPr>
      <w:r>
        <w:rPr>
          <w:rFonts w:hint="eastAsia" w:ascii="宋体" w:hAnsi="宋体"/>
          <w:color w:val="auto"/>
          <w:sz w:val="24"/>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14:paraId="2876DB90">
      <w:pPr>
        <w:spacing w:line="276" w:lineRule="auto"/>
        <w:ind w:firstLine="480"/>
        <w:rPr>
          <w:rFonts w:ascii="宋体" w:hAnsi="宋体"/>
          <w:color w:val="auto"/>
          <w:sz w:val="24"/>
          <w:highlight w:val="none"/>
        </w:rPr>
      </w:pPr>
      <w:r>
        <w:rPr>
          <w:rFonts w:hint="eastAsia" w:ascii="宋体" w:hAnsi="宋体"/>
          <w:color w:val="auto"/>
          <w:sz w:val="24"/>
          <w:highlight w:val="none"/>
        </w:rPr>
        <w:t>三、本单位提供给注册登记部门、行业管理部门、司法部门、行业组织以及在政府采购活动中提交的所有资料均合法、真实、有效，无任何伪造、修改、虚假成份，并对所提供资料的真实性负责。</w:t>
      </w:r>
    </w:p>
    <w:p w14:paraId="03872706">
      <w:pPr>
        <w:spacing w:line="276" w:lineRule="auto"/>
        <w:ind w:firstLine="480"/>
        <w:rPr>
          <w:rFonts w:ascii="宋体" w:hAnsi="宋体"/>
          <w:color w:val="auto"/>
          <w:sz w:val="24"/>
          <w:highlight w:val="none"/>
        </w:rPr>
      </w:pPr>
      <w:r>
        <w:rPr>
          <w:rFonts w:hint="eastAsia" w:ascii="宋体" w:hAnsi="宋体"/>
          <w:color w:val="auto"/>
          <w:sz w:val="24"/>
          <w:highlight w:val="none"/>
        </w:rPr>
        <w:t>四、严格依法开展生产经营活动，主动接受行业监管，自愿接受依法开展的日常检查；违法失信经营后将自愿接受约束和惩戒，并依法承担相应责任。</w:t>
      </w:r>
    </w:p>
    <w:p w14:paraId="51EBC9DC">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五、承诺本单位自觉接受行政管理部门、行业组织、社会公众、新闻舆论的监督。 </w:t>
      </w:r>
    </w:p>
    <w:p w14:paraId="21AAEEC8">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六、承诺本单位自我约束、自我管理，重合同、守信用，不制假售假、商标侵权、虚假宣传、违约毁约、恶意逃债、偷税漏税、价格欺诈、垄断和不正当竞争，维护经营者、消费者的合法权益。 </w:t>
      </w:r>
    </w:p>
    <w:p w14:paraId="6904FB82">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七、承诺本单位在信用中国（江苏）网站中无违法违规、较重或严重失信记录。 </w:t>
      </w:r>
    </w:p>
    <w:p w14:paraId="53D5BBD7">
      <w:pPr>
        <w:spacing w:line="276" w:lineRule="auto"/>
        <w:ind w:firstLine="480"/>
        <w:rPr>
          <w:rFonts w:ascii="宋体" w:hAnsi="宋体"/>
          <w:color w:val="auto"/>
          <w:sz w:val="24"/>
          <w:highlight w:val="none"/>
        </w:rPr>
      </w:pPr>
      <w:r>
        <w:rPr>
          <w:rFonts w:hint="eastAsia" w:ascii="宋体" w:hAnsi="宋体"/>
          <w:color w:val="auto"/>
          <w:sz w:val="24"/>
          <w:highlight w:val="none"/>
        </w:rPr>
        <w:t>八、承诺本单位提出政府采购质疑和投诉坚持依法依规、诚实信用原则。</w:t>
      </w:r>
    </w:p>
    <w:p w14:paraId="65CE29EC">
      <w:pPr>
        <w:spacing w:line="276" w:lineRule="auto"/>
        <w:ind w:firstLine="480"/>
        <w:rPr>
          <w:rFonts w:ascii="宋体" w:hAnsi="宋体"/>
          <w:color w:val="auto"/>
          <w:sz w:val="24"/>
          <w:highlight w:val="none"/>
        </w:rPr>
      </w:pPr>
      <w:r>
        <w:rPr>
          <w:rFonts w:hint="eastAsia" w:ascii="宋体" w:hAnsi="宋体"/>
          <w:color w:val="auto"/>
          <w:sz w:val="24"/>
          <w:highlight w:val="none"/>
        </w:rPr>
        <w:t xml:space="preserve">九、根据政府采购相关法律法规的规定需要作出的其他承诺。 </w:t>
      </w:r>
    </w:p>
    <w:p w14:paraId="655958EE">
      <w:pPr>
        <w:spacing w:line="276" w:lineRule="auto"/>
        <w:ind w:firstLine="480"/>
        <w:rPr>
          <w:rFonts w:ascii="宋体" w:hAnsi="宋体"/>
          <w:color w:val="auto"/>
          <w:sz w:val="24"/>
          <w:highlight w:val="none"/>
        </w:rPr>
      </w:pPr>
      <w:r>
        <w:rPr>
          <w:rFonts w:hint="eastAsia" w:ascii="宋体" w:hAnsi="宋体"/>
          <w:color w:val="auto"/>
          <w:sz w:val="24"/>
          <w:highlight w:val="none"/>
        </w:rPr>
        <w:t>十、承诺本单位若违背承诺约定，经查实，愿意接受行业主管部门和信用管理部门相应的规定处罚，承担违约责任，并依法承担相应的法律责任。</w:t>
      </w:r>
    </w:p>
    <w:p w14:paraId="6A8CA3EB">
      <w:pPr>
        <w:spacing w:line="276" w:lineRule="auto"/>
        <w:ind w:firstLine="480"/>
        <w:rPr>
          <w:rFonts w:ascii="宋体" w:hAnsi="宋体"/>
          <w:color w:val="auto"/>
          <w:sz w:val="24"/>
          <w:highlight w:val="none"/>
        </w:rPr>
      </w:pPr>
      <w:r>
        <w:rPr>
          <w:rFonts w:hint="eastAsia" w:ascii="宋体" w:hAnsi="宋体"/>
          <w:color w:val="auto"/>
          <w:sz w:val="24"/>
          <w:highlight w:val="none"/>
        </w:rPr>
        <w:t>十一、承诺本单位同意将以上承诺事项上网公示，违背承诺约定行为将作为失信信息，记录到常州市公共信用信息系统，并予以公开。</w:t>
      </w:r>
    </w:p>
    <w:p w14:paraId="3B500DA3">
      <w:pPr>
        <w:pStyle w:val="357"/>
        <w:spacing w:line="276" w:lineRule="auto"/>
        <w:ind w:right="1050" w:firstLine="2880"/>
        <w:jc w:val="both"/>
        <w:rPr>
          <w:rFonts w:ascii="宋体" w:hAnsi="宋体" w:eastAsia="宋体"/>
          <w:color w:val="auto"/>
          <w:sz w:val="24"/>
          <w:szCs w:val="22"/>
          <w:highlight w:val="none"/>
        </w:rPr>
      </w:pPr>
    </w:p>
    <w:p w14:paraId="64A0165A">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7705977E">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59F1BD3D">
      <w:pPr>
        <w:spacing w:line="360" w:lineRule="auto"/>
        <w:outlineLvl w:val="2"/>
        <w:rPr>
          <w:color w:val="auto"/>
          <w:sz w:val="24"/>
          <w:szCs w:val="20"/>
          <w:highlight w:val="none"/>
        </w:rPr>
      </w:pPr>
      <w:r>
        <w:rPr>
          <w:color w:val="auto"/>
          <w:sz w:val="24"/>
          <w:szCs w:val="20"/>
          <w:highlight w:val="none"/>
        </w:rPr>
        <w:br w:type="page" w:clear="all"/>
      </w:r>
      <w:r>
        <w:rPr>
          <w:rFonts w:hint="eastAsia"/>
          <w:color w:val="auto"/>
          <w:sz w:val="24"/>
          <w:szCs w:val="20"/>
          <w:highlight w:val="none"/>
          <w:lang w:val="en-US" w:eastAsia="zh-CN"/>
        </w:rPr>
        <w:t>8</w:t>
      </w:r>
      <w:r>
        <w:rPr>
          <w:color w:val="auto"/>
          <w:sz w:val="24"/>
          <w:szCs w:val="20"/>
          <w:highlight w:val="none"/>
        </w:rPr>
        <w:t xml:space="preserve"> 报价一览表</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Pr>
          <w:color w:val="auto"/>
          <w:sz w:val="24"/>
          <w:szCs w:val="20"/>
          <w:highlight w:val="none"/>
        </w:rPr>
        <w:t>（实质性格式）</w:t>
      </w:r>
    </w:p>
    <w:p w14:paraId="10AB8D48">
      <w:pPr>
        <w:jc w:val="center"/>
        <w:rPr>
          <w:b/>
          <w:color w:val="auto"/>
          <w:sz w:val="36"/>
          <w:szCs w:val="36"/>
          <w:highlight w:val="none"/>
        </w:rPr>
      </w:pPr>
      <w:bookmarkStart w:id="578" w:name="_Toc195842923"/>
      <w:bookmarkStart w:id="579" w:name="_Toc226337254"/>
      <w:bookmarkStart w:id="580" w:name="_Toc264969248"/>
      <w:bookmarkStart w:id="581" w:name="_Toc164608827"/>
      <w:bookmarkStart w:id="582" w:name="_Toc226965748"/>
      <w:bookmarkStart w:id="583" w:name="_Toc164608672"/>
      <w:bookmarkStart w:id="584" w:name="_Toc305158826"/>
      <w:bookmarkStart w:id="585" w:name="_Toc265228396"/>
      <w:bookmarkStart w:id="586" w:name="_Toc226965831"/>
      <w:bookmarkStart w:id="587" w:name="_Toc305158900"/>
      <w:bookmarkStart w:id="588" w:name="_Toc226309802"/>
      <w:r>
        <w:rPr>
          <w:rFonts w:hint="eastAsia"/>
          <w:b/>
          <w:color w:val="auto"/>
          <w:sz w:val="36"/>
          <w:szCs w:val="36"/>
          <w:highlight w:val="none"/>
        </w:rPr>
        <w:t>报价一览表</w:t>
      </w:r>
      <w:bookmarkEnd w:id="578"/>
      <w:bookmarkEnd w:id="579"/>
      <w:bookmarkEnd w:id="580"/>
      <w:bookmarkEnd w:id="581"/>
      <w:bookmarkEnd w:id="582"/>
      <w:bookmarkEnd w:id="583"/>
      <w:bookmarkEnd w:id="584"/>
      <w:bookmarkEnd w:id="585"/>
      <w:bookmarkEnd w:id="586"/>
      <w:bookmarkEnd w:id="587"/>
      <w:bookmarkEnd w:id="588"/>
    </w:p>
    <w:p w14:paraId="4E2AD20C">
      <w:pPr>
        <w:tabs>
          <w:tab w:val="left" w:pos="1800"/>
          <w:tab w:val="left" w:pos="5580"/>
        </w:tabs>
        <w:spacing w:line="360" w:lineRule="auto"/>
        <w:jc w:val="left"/>
        <w:rPr>
          <w:color w:val="auto"/>
          <w:sz w:val="24"/>
          <w:highlight w:val="none"/>
        </w:rPr>
      </w:pPr>
    </w:p>
    <w:p w14:paraId="228916FC">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项目编号/包号</w:t>
      </w:r>
      <w:r>
        <w:rPr>
          <w:rFonts w:hint="eastAsia"/>
          <w:color w:val="auto"/>
          <w:sz w:val="24"/>
          <w:highlight w:val="none"/>
          <w:lang w:eastAsia="zh-CN"/>
        </w:rPr>
        <w:t>：</w:t>
      </w:r>
      <w:r>
        <w:rPr>
          <w:rFonts w:hint="eastAsia"/>
          <w:color w:val="auto"/>
          <w:sz w:val="24"/>
          <w:szCs w:val="20"/>
          <w:highlight w:val="none"/>
          <w:u w:val="single"/>
          <w:lang w:eastAsia="zh-CN"/>
        </w:rPr>
        <w:t>JSZC-320412-CZZY-C2025-0050</w:t>
      </w:r>
    </w:p>
    <w:p w14:paraId="7EE01A79">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项目名称：</w:t>
      </w:r>
      <w:r>
        <w:rPr>
          <w:rFonts w:hint="eastAsia"/>
          <w:color w:val="auto"/>
          <w:sz w:val="24"/>
          <w:szCs w:val="20"/>
          <w:highlight w:val="none"/>
          <w:u w:val="single"/>
          <w:lang w:eastAsia="zh-CN"/>
        </w:rPr>
        <w:t>感统训练技术人才引进项目（二次）</w:t>
      </w:r>
    </w:p>
    <w:tbl>
      <w:tblPr>
        <w:tblStyle w:val="38"/>
        <w:tblW w:w="510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7"/>
        <w:gridCol w:w="3231"/>
        <w:gridCol w:w="2712"/>
        <w:gridCol w:w="2884"/>
      </w:tblGrid>
      <w:tr w14:paraId="38389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441" w:type="pct"/>
            <w:vMerge w:val="restart"/>
            <w:vAlign w:val="center"/>
          </w:tcPr>
          <w:p w14:paraId="75A34785">
            <w:pPr>
              <w:tabs>
                <w:tab w:val="left" w:pos="1800"/>
                <w:tab w:val="left" w:pos="5580"/>
              </w:tabs>
              <w:spacing w:line="360" w:lineRule="auto"/>
              <w:ind w:firstLine="240"/>
              <w:jc w:val="left"/>
              <w:rPr>
                <w:b/>
                <w:color w:val="auto"/>
                <w:sz w:val="24"/>
                <w:highlight w:val="none"/>
              </w:rPr>
            </w:pPr>
            <w:r>
              <w:rPr>
                <w:b/>
                <w:color w:val="auto"/>
                <w:sz w:val="24"/>
                <w:highlight w:val="none"/>
              </w:rPr>
              <w:t>序号</w:t>
            </w:r>
          </w:p>
        </w:tc>
        <w:tc>
          <w:tcPr>
            <w:tcW w:w="1401" w:type="pct"/>
            <w:vMerge w:val="restart"/>
            <w:vAlign w:val="center"/>
          </w:tcPr>
          <w:p w14:paraId="1C5EB752">
            <w:pPr>
              <w:tabs>
                <w:tab w:val="left" w:pos="1800"/>
                <w:tab w:val="left" w:pos="5580"/>
              </w:tabs>
              <w:spacing w:line="360" w:lineRule="auto"/>
              <w:ind w:firstLine="240"/>
              <w:jc w:val="left"/>
              <w:rPr>
                <w:b/>
                <w:color w:val="auto"/>
                <w:sz w:val="24"/>
                <w:highlight w:val="none"/>
              </w:rPr>
            </w:pPr>
            <w:r>
              <w:rPr>
                <w:rFonts w:hint="eastAsia"/>
                <w:b/>
                <w:color w:val="auto"/>
                <w:sz w:val="24"/>
                <w:highlight w:val="none"/>
                <w:lang w:eastAsia="zh-CN"/>
              </w:rPr>
              <w:t>供应商</w:t>
            </w:r>
            <w:r>
              <w:rPr>
                <w:b/>
                <w:color w:val="auto"/>
                <w:sz w:val="24"/>
                <w:highlight w:val="none"/>
              </w:rPr>
              <w:t>名称</w:t>
            </w:r>
          </w:p>
        </w:tc>
        <w:tc>
          <w:tcPr>
            <w:tcW w:w="2426" w:type="pct"/>
            <w:gridSpan w:val="2"/>
            <w:vAlign w:val="center"/>
          </w:tcPr>
          <w:p w14:paraId="59554A5F">
            <w:pPr>
              <w:tabs>
                <w:tab w:val="left" w:pos="1800"/>
                <w:tab w:val="left" w:pos="5580"/>
              </w:tabs>
              <w:spacing w:line="360" w:lineRule="auto"/>
              <w:ind w:firstLine="240"/>
              <w:jc w:val="left"/>
              <w:rPr>
                <w:b/>
                <w:color w:val="auto"/>
                <w:sz w:val="24"/>
                <w:highlight w:val="none"/>
              </w:rPr>
            </w:pPr>
            <w:r>
              <w:rPr>
                <w:b/>
                <w:color w:val="auto"/>
                <w:sz w:val="24"/>
                <w:highlight w:val="none"/>
              </w:rPr>
              <w:t>投标报价</w:t>
            </w:r>
            <w:r>
              <w:rPr>
                <w:rFonts w:hint="eastAsia"/>
                <w:b/>
                <w:color w:val="auto"/>
                <w:sz w:val="24"/>
                <w:highlight w:val="none"/>
              </w:rPr>
              <w:t>（</w:t>
            </w:r>
            <w:r>
              <w:rPr>
                <w:rFonts w:hint="eastAsia" w:ascii="宋体" w:hAnsi="宋体"/>
                <w:b/>
                <w:color w:val="auto"/>
                <w:sz w:val="24"/>
                <w:highlight w:val="none"/>
              </w:rPr>
              <w:t>优惠率）</w:t>
            </w:r>
            <w:r>
              <w:rPr>
                <w:rFonts w:cs="宋体"/>
                <w:b/>
                <w:color w:val="auto"/>
                <w:sz w:val="24"/>
                <w:highlight w:val="none"/>
              </w:rPr>
              <w:t>四舍五入保留两位小数</w:t>
            </w:r>
          </w:p>
        </w:tc>
      </w:tr>
      <w:tr w14:paraId="3546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441" w:type="pct"/>
            <w:vMerge w:val="continue"/>
            <w:vAlign w:val="center"/>
          </w:tcPr>
          <w:p w14:paraId="6EE759AC">
            <w:pPr>
              <w:tabs>
                <w:tab w:val="left" w:pos="5580"/>
              </w:tabs>
              <w:jc w:val="center"/>
              <w:rPr>
                <w:color w:val="auto"/>
                <w:sz w:val="24"/>
                <w:highlight w:val="none"/>
              </w:rPr>
            </w:pPr>
          </w:p>
        </w:tc>
        <w:tc>
          <w:tcPr>
            <w:tcW w:w="1401" w:type="pct"/>
            <w:vMerge w:val="continue"/>
            <w:vAlign w:val="center"/>
          </w:tcPr>
          <w:p w14:paraId="3C6817F1">
            <w:pPr>
              <w:tabs>
                <w:tab w:val="left" w:pos="5580"/>
              </w:tabs>
              <w:jc w:val="center"/>
              <w:rPr>
                <w:color w:val="auto"/>
                <w:sz w:val="24"/>
                <w:highlight w:val="none"/>
              </w:rPr>
            </w:pPr>
          </w:p>
        </w:tc>
        <w:tc>
          <w:tcPr>
            <w:tcW w:w="1176" w:type="pct"/>
            <w:vAlign w:val="center"/>
          </w:tcPr>
          <w:p w14:paraId="006B4728">
            <w:pPr>
              <w:tabs>
                <w:tab w:val="left" w:pos="5580"/>
              </w:tabs>
              <w:jc w:val="center"/>
              <w:rPr>
                <w:b/>
                <w:color w:val="auto"/>
                <w:sz w:val="24"/>
                <w:highlight w:val="none"/>
              </w:rPr>
            </w:pPr>
            <w:r>
              <w:rPr>
                <w:b/>
                <w:color w:val="auto"/>
                <w:sz w:val="24"/>
                <w:highlight w:val="none"/>
              </w:rPr>
              <w:t>大写</w:t>
            </w:r>
          </w:p>
        </w:tc>
        <w:tc>
          <w:tcPr>
            <w:tcW w:w="1250" w:type="pct"/>
            <w:vAlign w:val="center"/>
          </w:tcPr>
          <w:p w14:paraId="2E956B66">
            <w:pPr>
              <w:tabs>
                <w:tab w:val="left" w:pos="5580"/>
              </w:tabs>
              <w:jc w:val="center"/>
              <w:rPr>
                <w:b/>
                <w:color w:val="auto"/>
                <w:sz w:val="24"/>
                <w:highlight w:val="none"/>
              </w:rPr>
            </w:pPr>
            <w:r>
              <w:rPr>
                <w:b/>
                <w:color w:val="auto"/>
                <w:sz w:val="24"/>
                <w:highlight w:val="none"/>
              </w:rPr>
              <w:t>小写</w:t>
            </w:r>
          </w:p>
        </w:tc>
      </w:tr>
      <w:tr w14:paraId="6C8FD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441" w:type="pct"/>
            <w:vAlign w:val="center"/>
          </w:tcPr>
          <w:p w14:paraId="5A5904A3">
            <w:pPr>
              <w:tabs>
                <w:tab w:val="left" w:pos="5580"/>
              </w:tabs>
              <w:jc w:val="center"/>
              <w:rPr>
                <w:color w:val="auto"/>
                <w:sz w:val="24"/>
                <w:highlight w:val="none"/>
              </w:rPr>
            </w:pPr>
          </w:p>
        </w:tc>
        <w:tc>
          <w:tcPr>
            <w:tcW w:w="1401" w:type="pct"/>
            <w:vAlign w:val="center"/>
          </w:tcPr>
          <w:p w14:paraId="2413D924">
            <w:pPr>
              <w:tabs>
                <w:tab w:val="left" w:pos="5580"/>
              </w:tabs>
              <w:jc w:val="center"/>
              <w:rPr>
                <w:color w:val="auto"/>
                <w:sz w:val="24"/>
                <w:highlight w:val="none"/>
              </w:rPr>
            </w:pPr>
          </w:p>
        </w:tc>
        <w:tc>
          <w:tcPr>
            <w:tcW w:w="1176" w:type="pct"/>
            <w:vAlign w:val="center"/>
          </w:tcPr>
          <w:p w14:paraId="287DF5DF">
            <w:pPr>
              <w:tabs>
                <w:tab w:val="left" w:pos="5580"/>
              </w:tabs>
              <w:jc w:val="center"/>
              <w:rPr>
                <w:color w:val="auto"/>
                <w:sz w:val="24"/>
                <w:highlight w:val="none"/>
              </w:rPr>
            </w:pPr>
            <w:r>
              <w:rPr>
                <w:rFonts w:hint="eastAsia"/>
                <w:color w:val="auto"/>
                <w:sz w:val="24"/>
                <w:highlight w:val="none"/>
              </w:rPr>
              <w:t xml:space="preserve">百分之 </w:t>
            </w:r>
          </w:p>
        </w:tc>
        <w:tc>
          <w:tcPr>
            <w:tcW w:w="1250" w:type="pct"/>
            <w:vAlign w:val="center"/>
          </w:tcPr>
          <w:p w14:paraId="034E43E8">
            <w:pPr>
              <w:tabs>
                <w:tab w:val="left" w:pos="5580"/>
              </w:tabs>
              <w:jc w:val="center"/>
              <w:rPr>
                <w:color w:val="auto"/>
                <w:sz w:val="24"/>
                <w:highlight w:val="none"/>
              </w:rPr>
            </w:pPr>
            <w:r>
              <w:rPr>
                <w:rFonts w:hint="eastAsia"/>
                <w:color w:val="auto"/>
                <w:sz w:val="24"/>
                <w:highlight w:val="none"/>
              </w:rPr>
              <w:t>%</w:t>
            </w:r>
          </w:p>
        </w:tc>
      </w:tr>
    </w:tbl>
    <w:p w14:paraId="51D9D472">
      <w:pPr>
        <w:spacing w:before="25" w:after="25" w:line="360" w:lineRule="auto"/>
        <w:rPr>
          <w:color w:val="auto"/>
          <w:sz w:val="24"/>
          <w:highlight w:val="none"/>
          <w:lang w:val="zh-CN"/>
        </w:rPr>
      </w:pPr>
    </w:p>
    <w:p w14:paraId="599B2846">
      <w:pPr>
        <w:spacing w:before="25" w:after="25" w:line="360" w:lineRule="auto"/>
        <w:rPr>
          <w:rFonts w:hint="eastAsia"/>
          <w:b/>
          <w:bCs/>
          <w:color w:val="auto"/>
          <w:sz w:val="24"/>
          <w:highlight w:val="none"/>
          <w:lang w:val="en-US" w:eastAsia="zh-CN"/>
        </w:rPr>
      </w:pPr>
      <w:r>
        <w:rPr>
          <w:b/>
          <w:bCs/>
          <w:color w:val="auto"/>
          <w:sz w:val="24"/>
          <w:highlight w:val="none"/>
        </w:rPr>
        <w:t>注：</w:t>
      </w:r>
      <w:r>
        <w:rPr>
          <w:rFonts w:hint="eastAsia"/>
          <w:b/>
          <w:bCs/>
          <w:color w:val="auto"/>
          <w:sz w:val="24"/>
          <w:highlight w:val="none"/>
          <w:lang w:val="en-US" w:eastAsia="zh-CN"/>
        </w:rPr>
        <w:t>如供应商在苏采云系统中报价与本《开标一览表》不一致的，以苏采云系统中报价为准。</w:t>
      </w:r>
    </w:p>
    <w:p w14:paraId="286C4474">
      <w:pPr>
        <w:spacing w:before="25" w:after="25" w:line="360" w:lineRule="auto"/>
        <w:rPr>
          <w:rFonts w:hint="eastAsia"/>
          <w:b/>
          <w:bCs/>
          <w:color w:val="auto"/>
          <w:sz w:val="24"/>
          <w:highlight w:val="none"/>
          <w:lang w:val="en-US" w:eastAsia="zh-CN"/>
        </w:rPr>
      </w:pPr>
    </w:p>
    <w:p w14:paraId="46540381">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401B657A">
      <w:pPr>
        <w:spacing w:before="25" w:after="25" w:line="360" w:lineRule="auto"/>
        <w:rPr>
          <w:color w:val="auto"/>
          <w:sz w:val="24"/>
          <w:szCs w:val="20"/>
          <w:highlight w:val="none"/>
        </w:rPr>
      </w:pPr>
      <w:r>
        <w:rPr>
          <w:color w:val="auto"/>
          <w:sz w:val="24"/>
          <w:szCs w:val="20"/>
          <w:highlight w:val="none"/>
        </w:rPr>
        <w:t xml:space="preserve">日期：_____年______月______日   </w:t>
      </w:r>
    </w:p>
    <w:p w14:paraId="6BF7DB5F">
      <w:pPr>
        <w:rPr>
          <w:color w:val="auto"/>
          <w:sz w:val="24"/>
          <w:szCs w:val="20"/>
          <w:highlight w:val="none"/>
        </w:rPr>
      </w:pPr>
      <w:r>
        <w:rPr>
          <w:color w:val="auto"/>
          <w:sz w:val="24"/>
          <w:szCs w:val="20"/>
          <w:highlight w:val="none"/>
        </w:rPr>
        <w:br w:type="page" w:clear="all"/>
      </w:r>
    </w:p>
    <w:p w14:paraId="66F5BBF2">
      <w:pPr>
        <w:spacing w:line="360" w:lineRule="auto"/>
        <w:outlineLvl w:val="2"/>
        <w:rPr>
          <w:color w:val="auto"/>
          <w:sz w:val="24"/>
          <w:szCs w:val="20"/>
          <w:highlight w:val="none"/>
        </w:rPr>
      </w:pPr>
      <w:bookmarkStart w:id="589" w:name="_Toc265228400"/>
      <w:bookmarkStart w:id="590" w:name="_Toc305158904"/>
      <w:bookmarkStart w:id="591" w:name="_Toc226309806"/>
      <w:bookmarkStart w:id="592" w:name="_Toc150480798"/>
      <w:bookmarkStart w:id="593" w:name="_Toc226337258"/>
      <w:bookmarkStart w:id="594" w:name="_Toc127151562"/>
      <w:bookmarkStart w:id="595" w:name="_Toc264969252"/>
      <w:bookmarkStart w:id="596" w:name="_Toc226965752"/>
      <w:bookmarkStart w:id="597" w:name="_Toc226965835"/>
      <w:bookmarkStart w:id="598" w:name="_Toc150774765"/>
      <w:bookmarkStart w:id="599" w:name="_Toc195842927"/>
      <w:bookmarkStart w:id="600" w:name="_Toc142311062"/>
      <w:bookmarkStart w:id="601" w:name="_Toc305158830"/>
      <w:bookmarkStart w:id="602" w:name="_Toc305158829"/>
      <w:bookmarkStart w:id="603" w:name="_Toc265228399"/>
      <w:bookmarkStart w:id="604" w:name="_Toc264969251"/>
      <w:bookmarkStart w:id="605" w:name="_Toc305158903"/>
      <w:bookmarkStart w:id="606" w:name="_Toc226965751"/>
      <w:bookmarkStart w:id="607" w:name="_Toc150480797"/>
      <w:bookmarkStart w:id="608" w:name="_Toc150774764"/>
      <w:bookmarkStart w:id="609" w:name="_Toc226309805"/>
      <w:bookmarkStart w:id="610" w:name="_Toc127151561"/>
      <w:bookmarkStart w:id="611" w:name="_Toc226337257"/>
      <w:bookmarkStart w:id="612" w:name="_Toc195842926"/>
      <w:bookmarkStart w:id="613" w:name="_Toc142311061"/>
      <w:bookmarkStart w:id="614" w:name="_Toc226965834"/>
      <w:r>
        <w:rPr>
          <w:rFonts w:hint="eastAsia"/>
          <w:color w:val="auto"/>
          <w:sz w:val="24"/>
          <w:szCs w:val="20"/>
          <w:highlight w:val="none"/>
          <w:lang w:val="en-US" w:eastAsia="zh-CN"/>
        </w:rPr>
        <w:t>8</w:t>
      </w:r>
      <w:r>
        <w:rPr>
          <w:color w:val="auto"/>
          <w:sz w:val="24"/>
          <w:szCs w:val="20"/>
          <w:highlight w:val="none"/>
        </w:rPr>
        <w:t xml:space="preserve"> 合同条款偏离表</w:t>
      </w:r>
      <w:bookmarkEnd w:id="589"/>
      <w:bookmarkEnd w:id="590"/>
      <w:bookmarkEnd w:id="591"/>
      <w:bookmarkEnd w:id="592"/>
      <w:bookmarkEnd w:id="593"/>
      <w:bookmarkEnd w:id="594"/>
      <w:bookmarkEnd w:id="595"/>
      <w:bookmarkEnd w:id="596"/>
      <w:bookmarkEnd w:id="597"/>
      <w:bookmarkEnd w:id="598"/>
      <w:bookmarkEnd w:id="599"/>
      <w:bookmarkEnd w:id="600"/>
      <w:bookmarkEnd w:id="601"/>
      <w:r>
        <w:rPr>
          <w:color w:val="auto"/>
          <w:sz w:val="24"/>
          <w:szCs w:val="20"/>
          <w:highlight w:val="none"/>
        </w:rPr>
        <w:t>（实质性格式）</w:t>
      </w:r>
    </w:p>
    <w:p w14:paraId="6F9286F4">
      <w:pPr>
        <w:spacing w:line="360" w:lineRule="auto"/>
        <w:rPr>
          <w:color w:val="auto"/>
          <w:sz w:val="24"/>
          <w:szCs w:val="20"/>
          <w:highlight w:val="none"/>
        </w:rPr>
      </w:pPr>
    </w:p>
    <w:p w14:paraId="09A3BB30">
      <w:pPr>
        <w:jc w:val="center"/>
        <w:rPr>
          <w:b/>
          <w:color w:val="auto"/>
          <w:sz w:val="36"/>
          <w:szCs w:val="36"/>
          <w:highlight w:val="none"/>
        </w:rPr>
      </w:pPr>
      <w:r>
        <w:rPr>
          <w:rFonts w:hint="eastAsia"/>
          <w:b/>
          <w:color w:val="auto"/>
          <w:sz w:val="36"/>
          <w:szCs w:val="36"/>
          <w:highlight w:val="none"/>
        </w:rPr>
        <w:t>合同条款偏离表</w:t>
      </w:r>
    </w:p>
    <w:p w14:paraId="55671E17">
      <w:pPr>
        <w:jc w:val="center"/>
        <w:rPr>
          <w:color w:val="auto"/>
          <w:sz w:val="36"/>
          <w:szCs w:val="36"/>
          <w:highlight w:val="none"/>
        </w:rPr>
      </w:pPr>
    </w:p>
    <w:p w14:paraId="562C8BC0">
      <w:pPr>
        <w:spacing w:line="360" w:lineRule="auto"/>
        <w:ind w:firstLine="240" w:firstLineChars="100"/>
        <w:rPr>
          <w:rFonts w:hint="eastAsia"/>
          <w:color w:val="auto"/>
          <w:sz w:val="24"/>
          <w:szCs w:val="20"/>
          <w:highlight w:val="none"/>
          <w:u w:val="single"/>
          <w:lang w:eastAsia="zh-CN"/>
        </w:rPr>
      </w:pPr>
      <w:r>
        <w:rPr>
          <w:color w:val="auto"/>
          <w:sz w:val="24"/>
          <w:highlight w:val="none"/>
        </w:rPr>
        <w:t>项目编号/包号</w:t>
      </w:r>
      <w:r>
        <w:rPr>
          <w:rFonts w:hint="eastAsia"/>
          <w:color w:val="auto"/>
          <w:sz w:val="24"/>
          <w:highlight w:val="none"/>
          <w:lang w:eastAsia="zh-CN"/>
        </w:rPr>
        <w:t>：</w:t>
      </w:r>
      <w:r>
        <w:rPr>
          <w:rFonts w:hint="eastAsia"/>
          <w:color w:val="auto"/>
          <w:sz w:val="24"/>
          <w:szCs w:val="20"/>
          <w:highlight w:val="none"/>
          <w:u w:val="single"/>
          <w:lang w:eastAsia="zh-CN"/>
        </w:rPr>
        <w:t>JSZC-320412-CZZY-C2025-0050</w:t>
      </w:r>
    </w:p>
    <w:p w14:paraId="65FC531E">
      <w:pPr>
        <w:spacing w:line="360" w:lineRule="auto"/>
        <w:ind w:firstLine="240" w:firstLineChars="100"/>
        <w:rPr>
          <w:rFonts w:hint="eastAsia"/>
          <w:color w:val="auto"/>
          <w:sz w:val="24"/>
          <w:szCs w:val="20"/>
          <w:highlight w:val="none"/>
          <w:u w:val="single"/>
          <w:lang w:eastAsia="zh-CN"/>
        </w:rPr>
      </w:pPr>
      <w:r>
        <w:rPr>
          <w:color w:val="auto"/>
          <w:sz w:val="24"/>
          <w:highlight w:val="none"/>
        </w:rPr>
        <w:t>项目名称：</w:t>
      </w:r>
      <w:r>
        <w:rPr>
          <w:rFonts w:hint="eastAsia"/>
          <w:color w:val="auto"/>
          <w:sz w:val="24"/>
          <w:szCs w:val="20"/>
          <w:highlight w:val="none"/>
          <w:u w:val="single"/>
          <w:lang w:eastAsia="zh-CN"/>
        </w:rPr>
        <w:t>感统训练技术人才引进项目（二次）</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7"/>
        <w:gridCol w:w="1290"/>
        <w:gridCol w:w="1980"/>
        <w:gridCol w:w="1981"/>
        <w:gridCol w:w="2098"/>
        <w:gridCol w:w="1112"/>
      </w:tblGrid>
      <w:tr w14:paraId="25DAA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41176BF7">
            <w:pPr>
              <w:jc w:val="left"/>
              <w:rPr>
                <w:b/>
                <w:color w:val="auto"/>
                <w:sz w:val="24"/>
                <w:highlight w:val="none"/>
              </w:rPr>
            </w:pPr>
            <w:r>
              <w:rPr>
                <w:rFonts w:hint="eastAsia"/>
                <w:b/>
                <w:color w:val="auto"/>
                <w:sz w:val="24"/>
                <w:highlight w:val="none"/>
              </w:rPr>
              <w:t>对本项目合同条款的偏离情况（请进行勾选）：</w:t>
            </w:r>
          </w:p>
          <w:p w14:paraId="6A742BF2">
            <w:pPr>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72E747AF">
            <w:pPr>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如有负偏离，</w:t>
            </w:r>
            <w:r>
              <w:rPr>
                <w:color w:val="auto"/>
                <w:sz w:val="24"/>
                <w:highlight w:val="none"/>
              </w:rPr>
              <w:t>则须在本表中对负偏离项逐一列明）</w:t>
            </w:r>
          </w:p>
        </w:tc>
      </w:tr>
      <w:tr w14:paraId="665F8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274762FC">
            <w:pPr>
              <w:jc w:val="center"/>
              <w:rPr>
                <w:color w:val="auto"/>
                <w:sz w:val="24"/>
                <w:highlight w:val="none"/>
              </w:rPr>
            </w:pPr>
            <w:r>
              <w:rPr>
                <w:color w:val="auto"/>
                <w:sz w:val="24"/>
                <w:highlight w:val="none"/>
              </w:rPr>
              <w:t>序号</w:t>
            </w:r>
          </w:p>
        </w:tc>
        <w:tc>
          <w:tcPr>
            <w:tcW w:w="1290" w:type="dxa"/>
            <w:noWrap w:val="0"/>
            <w:vAlign w:val="center"/>
          </w:tcPr>
          <w:p w14:paraId="6CF3A9C6">
            <w:pPr>
              <w:jc w:val="center"/>
              <w:rPr>
                <w:color w:val="auto"/>
                <w:sz w:val="24"/>
                <w:highlight w:val="none"/>
              </w:rPr>
            </w:pPr>
            <w:r>
              <w:rPr>
                <w:color w:val="auto"/>
                <w:sz w:val="24"/>
                <w:szCs w:val="21"/>
                <w:highlight w:val="none"/>
              </w:rPr>
              <w:t>磋商文件</w:t>
            </w:r>
            <w:r>
              <w:rPr>
                <w:color w:val="auto"/>
                <w:sz w:val="24"/>
                <w:highlight w:val="none"/>
              </w:rPr>
              <w:t>条目号（页码）</w:t>
            </w:r>
          </w:p>
        </w:tc>
        <w:tc>
          <w:tcPr>
            <w:tcW w:w="1980" w:type="dxa"/>
            <w:noWrap w:val="0"/>
            <w:vAlign w:val="center"/>
          </w:tcPr>
          <w:p w14:paraId="266596EE">
            <w:pPr>
              <w:jc w:val="center"/>
              <w:rPr>
                <w:color w:val="auto"/>
                <w:sz w:val="24"/>
                <w:highlight w:val="none"/>
              </w:rPr>
            </w:pPr>
            <w:r>
              <w:rPr>
                <w:color w:val="auto"/>
                <w:sz w:val="24"/>
                <w:szCs w:val="21"/>
                <w:highlight w:val="none"/>
              </w:rPr>
              <w:t>磋商文件</w:t>
            </w:r>
            <w:r>
              <w:rPr>
                <w:color w:val="auto"/>
                <w:sz w:val="24"/>
                <w:highlight w:val="none"/>
              </w:rPr>
              <w:t>要求</w:t>
            </w:r>
          </w:p>
        </w:tc>
        <w:tc>
          <w:tcPr>
            <w:tcW w:w="1981" w:type="dxa"/>
            <w:noWrap w:val="0"/>
            <w:vAlign w:val="center"/>
          </w:tcPr>
          <w:p w14:paraId="6B34F33D">
            <w:pPr>
              <w:jc w:val="center"/>
              <w:rPr>
                <w:color w:val="auto"/>
                <w:sz w:val="24"/>
                <w:highlight w:val="none"/>
              </w:rPr>
            </w:pPr>
            <w:r>
              <w:rPr>
                <w:color w:val="auto"/>
                <w:sz w:val="24"/>
                <w:highlight w:val="none"/>
              </w:rPr>
              <w:t>响应文件内容</w:t>
            </w:r>
          </w:p>
        </w:tc>
        <w:tc>
          <w:tcPr>
            <w:tcW w:w="2098" w:type="dxa"/>
            <w:noWrap w:val="0"/>
            <w:vAlign w:val="center"/>
          </w:tcPr>
          <w:p w14:paraId="46DF96ED">
            <w:pPr>
              <w:jc w:val="center"/>
              <w:rPr>
                <w:color w:val="auto"/>
                <w:sz w:val="24"/>
                <w:highlight w:val="none"/>
              </w:rPr>
            </w:pPr>
            <w:r>
              <w:rPr>
                <w:color w:val="auto"/>
                <w:sz w:val="24"/>
                <w:highlight w:val="none"/>
              </w:rPr>
              <w:t>偏离情况</w:t>
            </w:r>
          </w:p>
          <w:p w14:paraId="47AE8D6B">
            <w:pPr>
              <w:jc w:val="center"/>
              <w:rPr>
                <w:color w:val="auto"/>
                <w:sz w:val="24"/>
                <w:highlight w:val="none"/>
              </w:rPr>
            </w:pPr>
            <w:r>
              <w:rPr>
                <w:color w:val="auto"/>
                <w:sz w:val="24"/>
                <w:highlight w:val="none"/>
              </w:rPr>
              <w:t>（据实填写）</w:t>
            </w:r>
          </w:p>
        </w:tc>
        <w:tc>
          <w:tcPr>
            <w:tcW w:w="1112" w:type="dxa"/>
            <w:noWrap w:val="0"/>
            <w:vAlign w:val="center"/>
          </w:tcPr>
          <w:p w14:paraId="56427204">
            <w:pPr>
              <w:jc w:val="center"/>
              <w:rPr>
                <w:color w:val="auto"/>
                <w:sz w:val="24"/>
                <w:highlight w:val="none"/>
              </w:rPr>
            </w:pPr>
            <w:r>
              <w:rPr>
                <w:color w:val="auto"/>
                <w:sz w:val="24"/>
                <w:highlight w:val="none"/>
              </w:rPr>
              <w:t>说明</w:t>
            </w:r>
          </w:p>
        </w:tc>
      </w:tr>
      <w:tr w14:paraId="113FD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6B314AC">
            <w:pPr>
              <w:jc w:val="center"/>
              <w:rPr>
                <w:color w:val="auto"/>
                <w:sz w:val="24"/>
                <w:highlight w:val="none"/>
              </w:rPr>
            </w:pPr>
          </w:p>
        </w:tc>
        <w:tc>
          <w:tcPr>
            <w:tcW w:w="1290" w:type="dxa"/>
            <w:noWrap w:val="0"/>
            <w:vAlign w:val="center"/>
          </w:tcPr>
          <w:p w14:paraId="66AC5907">
            <w:pPr>
              <w:jc w:val="center"/>
              <w:rPr>
                <w:color w:val="auto"/>
                <w:sz w:val="24"/>
                <w:highlight w:val="none"/>
              </w:rPr>
            </w:pPr>
          </w:p>
        </w:tc>
        <w:tc>
          <w:tcPr>
            <w:tcW w:w="1980" w:type="dxa"/>
            <w:noWrap w:val="0"/>
            <w:vAlign w:val="center"/>
          </w:tcPr>
          <w:p w14:paraId="40ADB078">
            <w:pPr>
              <w:jc w:val="center"/>
              <w:rPr>
                <w:color w:val="auto"/>
                <w:sz w:val="24"/>
                <w:highlight w:val="none"/>
              </w:rPr>
            </w:pPr>
          </w:p>
        </w:tc>
        <w:tc>
          <w:tcPr>
            <w:tcW w:w="1981" w:type="dxa"/>
            <w:noWrap w:val="0"/>
            <w:vAlign w:val="center"/>
          </w:tcPr>
          <w:p w14:paraId="3090ECA0">
            <w:pPr>
              <w:jc w:val="center"/>
              <w:rPr>
                <w:color w:val="auto"/>
                <w:sz w:val="24"/>
                <w:highlight w:val="none"/>
              </w:rPr>
            </w:pPr>
          </w:p>
        </w:tc>
        <w:tc>
          <w:tcPr>
            <w:tcW w:w="2098" w:type="dxa"/>
            <w:noWrap w:val="0"/>
            <w:vAlign w:val="center"/>
          </w:tcPr>
          <w:p w14:paraId="0FCB5FE9">
            <w:pPr>
              <w:jc w:val="center"/>
              <w:rPr>
                <w:color w:val="auto"/>
                <w:sz w:val="24"/>
                <w:highlight w:val="none"/>
              </w:rPr>
            </w:pPr>
          </w:p>
        </w:tc>
        <w:tc>
          <w:tcPr>
            <w:tcW w:w="1112" w:type="dxa"/>
            <w:noWrap w:val="0"/>
            <w:vAlign w:val="center"/>
          </w:tcPr>
          <w:p w14:paraId="55123DAE">
            <w:pPr>
              <w:jc w:val="center"/>
              <w:rPr>
                <w:color w:val="auto"/>
                <w:sz w:val="24"/>
                <w:highlight w:val="none"/>
              </w:rPr>
            </w:pPr>
          </w:p>
        </w:tc>
      </w:tr>
      <w:tr w14:paraId="4E0B2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44404FB8">
            <w:pPr>
              <w:jc w:val="center"/>
              <w:rPr>
                <w:color w:val="auto"/>
                <w:sz w:val="24"/>
                <w:highlight w:val="none"/>
              </w:rPr>
            </w:pPr>
          </w:p>
        </w:tc>
        <w:tc>
          <w:tcPr>
            <w:tcW w:w="1290" w:type="dxa"/>
            <w:noWrap w:val="0"/>
            <w:vAlign w:val="center"/>
          </w:tcPr>
          <w:p w14:paraId="497ABC26">
            <w:pPr>
              <w:jc w:val="center"/>
              <w:rPr>
                <w:color w:val="auto"/>
                <w:sz w:val="24"/>
                <w:highlight w:val="none"/>
              </w:rPr>
            </w:pPr>
          </w:p>
        </w:tc>
        <w:tc>
          <w:tcPr>
            <w:tcW w:w="1980" w:type="dxa"/>
            <w:noWrap w:val="0"/>
            <w:vAlign w:val="center"/>
          </w:tcPr>
          <w:p w14:paraId="3077982C">
            <w:pPr>
              <w:jc w:val="center"/>
              <w:rPr>
                <w:color w:val="auto"/>
                <w:sz w:val="24"/>
                <w:highlight w:val="none"/>
              </w:rPr>
            </w:pPr>
          </w:p>
        </w:tc>
        <w:tc>
          <w:tcPr>
            <w:tcW w:w="1981" w:type="dxa"/>
            <w:noWrap w:val="0"/>
            <w:vAlign w:val="center"/>
          </w:tcPr>
          <w:p w14:paraId="3246D1FB">
            <w:pPr>
              <w:jc w:val="center"/>
              <w:rPr>
                <w:color w:val="auto"/>
                <w:sz w:val="24"/>
                <w:highlight w:val="none"/>
              </w:rPr>
            </w:pPr>
          </w:p>
        </w:tc>
        <w:tc>
          <w:tcPr>
            <w:tcW w:w="2098" w:type="dxa"/>
            <w:noWrap w:val="0"/>
            <w:vAlign w:val="center"/>
          </w:tcPr>
          <w:p w14:paraId="6738B74A">
            <w:pPr>
              <w:jc w:val="center"/>
              <w:rPr>
                <w:color w:val="auto"/>
                <w:sz w:val="24"/>
                <w:highlight w:val="none"/>
              </w:rPr>
            </w:pPr>
          </w:p>
        </w:tc>
        <w:tc>
          <w:tcPr>
            <w:tcW w:w="1112" w:type="dxa"/>
            <w:noWrap w:val="0"/>
            <w:vAlign w:val="center"/>
          </w:tcPr>
          <w:p w14:paraId="26C80209">
            <w:pPr>
              <w:jc w:val="center"/>
              <w:rPr>
                <w:color w:val="auto"/>
                <w:sz w:val="24"/>
                <w:highlight w:val="none"/>
              </w:rPr>
            </w:pPr>
          </w:p>
        </w:tc>
      </w:tr>
      <w:tr w14:paraId="1E2EC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0E4F06C1">
            <w:pPr>
              <w:jc w:val="center"/>
              <w:rPr>
                <w:color w:val="auto"/>
                <w:sz w:val="24"/>
                <w:highlight w:val="none"/>
              </w:rPr>
            </w:pPr>
          </w:p>
        </w:tc>
        <w:tc>
          <w:tcPr>
            <w:tcW w:w="1290" w:type="dxa"/>
            <w:noWrap w:val="0"/>
            <w:vAlign w:val="center"/>
          </w:tcPr>
          <w:p w14:paraId="3EE35AB7">
            <w:pPr>
              <w:jc w:val="center"/>
              <w:rPr>
                <w:color w:val="auto"/>
                <w:sz w:val="24"/>
                <w:highlight w:val="none"/>
              </w:rPr>
            </w:pPr>
          </w:p>
        </w:tc>
        <w:tc>
          <w:tcPr>
            <w:tcW w:w="1980" w:type="dxa"/>
            <w:noWrap w:val="0"/>
            <w:vAlign w:val="center"/>
          </w:tcPr>
          <w:p w14:paraId="4C72D6DD">
            <w:pPr>
              <w:jc w:val="center"/>
              <w:rPr>
                <w:color w:val="auto"/>
                <w:sz w:val="24"/>
                <w:highlight w:val="none"/>
              </w:rPr>
            </w:pPr>
          </w:p>
        </w:tc>
        <w:tc>
          <w:tcPr>
            <w:tcW w:w="1981" w:type="dxa"/>
            <w:noWrap w:val="0"/>
            <w:vAlign w:val="center"/>
          </w:tcPr>
          <w:p w14:paraId="3F6B5603">
            <w:pPr>
              <w:jc w:val="center"/>
              <w:rPr>
                <w:color w:val="auto"/>
                <w:sz w:val="24"/>
                <w:highlight w:val="none"/>
              </w:rPr>
            </w:pPr>
          </w:p>
        </w:tc>
        <w:tc>
          <w:tcPr>
            <w:tcW w:w="2098" w:type="dxa"/>
            <w:noWrap w:val="0"/>
            <w:vAlign w:val="center"/>
          </w:tcPr>
          <w:p w14:paraId="6CACB23A">
            <w:pPr>
              <w:jc w:val="center"/>
              <w:rPr>
                <w:color w:val="auto"/>
                <w:sz w:val="24"/>
                <w:highlight w:val="none"/>
              </w:rPr>
            </w:pPr>
          </w:p>
        </w:tc>
        <w:tc>
          <w:tcPr>
            <w:tcW w:w="1112" w:type="dxa"/>
            <w:noWrap w:val="0"/>
            <w:vAlign w:val="center"/>
          </w:tcPr>
          <w:p w14:paraId="143D6D47">
            <w:pPr>
              <w:jc w:val="center"/>
              <w:rPr>
                <w:color w:val="auto"/>
                <w:sz w:val="24"/>
                <w:highlight w:val="none"/>
              </w:rPr>
            </w:pPr>
          </w:p>
        </w:tc>
      </w:tr>
      <w:tr w14:paraId="4C32D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27" w:type="dxa"/>
            <w:noWrap w:val="0"/>
            <w:vAlign w:val="center"/>
          </w:tcPr>
          <w:p w14:paraId="1400FB38">
            <w:pPr>
              <w:jc w:val="center"/>
              <w:rPr>
                <w:color w:val="auto"/>
                <w:sz w:val="24"/>
                <w:highlight w:val="none"/>
              </w:rPr>
            </w:pPr>
          </w:p>
        </w:tc>
        <w:tc>
          <w:tcPr>
            <w:tcW w:w="1290" w:type="dxa"/>
            <w:noWrap w:val="0"/>
            <w:vAlign w:val="center"/>
          </w:tcPr>
          <w:p w14:paraId="153964C7">
            <w:pPr>
              <w:jc w:val="center"/>
              <w:rPr>
                <w:color w:val="auto"/>
                <w:sz w:val="24"/>
                <w:highlight w:val="none"/>
              </w:rPr>
            </w:pPr>
          </w:p>
        </w:tc>
        <w:tc>
          <w:tcPr>
            <w:tcW w:w="1980" w:type="dxa"/>
            <w:noWrap w:val="0"/>
            <w:vAlign w:val="center"/>
          </w:tcPr>
          <w:p w14:paraId="21683076">
            <w:pPr>
              <w:jc w:val="center"/>
              <w:rPr>
                <w:color w:val="auto"/>
                <w:sz w:val="24"/>
                <w:highlight w:val="none"/>
              </w:rPr>
            </w:pPr>
          </w:p>
        </w:tc>
        <w:tc>
          <w:tcPr>
            <w:tcW w:w="1981" w:type="dxa"/>
            <w:noWrap w:val="0"/>
            <w:vAlign w:val="center"/>
          </w:tcPr>
          <w:p w14:paraId="52061A15">
            <w:pPr>
              <w:jc w:val="center"/>
              <w:rPr>
                <w:color w:val="auto"/>
                <w:sz w:val="24"/>
                <w:highlight w:val="none"/>
              </w:rPr>
            </w:pPr>
          </w:p>
        </w:tc>
        <w:tc>
          <w:tcPr>
            <w:tcW w:w="2098" w:type="dxa"/>
            <w:noWrap w:val="0"/>
            <w:vAlign w:val="center"/>
          </w:tcPr>
          <w:p w14:paraId="7AF91099">
            <w:pPr>
              <w:jc w:val="center"/>
              <w:rPr>
                <w:color w:val="auto"/>
                <w:sz w:val="24"/>
                <w:highlight w:val="none"/>
              </w:rPr>
            </w:pPr>
          </w:p>
        </w:tc>
        <w:tc>
          <w:tcPr>
            <w:tcW w:w="1112" w:type="dxa"/>
            <w:noWrap w:val="0"/>
            <w:vAlign w:val="center"/>
          </w:tcPr>
          <w:p w14:paraId="1EFA70F5">
            <w:pPr>
              <w:jc w:val="center"/>
              <w:rPr>
                <w:color w:val="auto"/>
                <w:sz w:val="24"/>
                <w:highlight w:val="none"/>
              </w:rPr>
            </w:pPr>
          </w:p>
        </w:tc>
      </w:tr>
    </w:tbl>
    <w:p w14:paraId="45B74B7E">
      <w:pPr>
        <w:tabs>
          <w:tab w:val="left" w:pos="1800"/>
          <w:tab w:val="left" w:pos="5580"/>
        </w:tabs>
        <w:jc w:val="left"/>
        <w:rPr>
          <w:color w:val="auto"/>
          <w:sz w:val="24"/>
          <w:highlight w:val="none"/>
        </w:rPr>
      </w:pPr>
    </w:p>
    <w:p w14:paraId="0363C623">
      <w:pPr>
        <w:tabs>
          <w:tab w:val="left" w:pos="1800"/>
          <w:tab w:val="left" w:pos="5580"/>
        </w:tabs>
        <w:jc w:val="left"/>
        <w:rPr>
          <w:color w:val="auto"/>
          <w:sz w:val="24"/>
          <w:highlight w:val="none"/>
        </w:rPr>
      </w:pPr>
      <w:r>
        <w:rPr>
          <w:rFonts w:hint="eastAsia"/>
          <w:color w:val="auto"/>
          <w:sz w:val="24"/>
          <w:highlight w:val="none"/>
        </w:rPr>
        <w:t>注：</w:t>
      </w:r>
    </w:p>
    <w:p w14:paraId="56CE89A8">
      <w:pPr>
        <w:tabs>
          <w:tab w:val="left" w:pos="1800"/>
          <w:tab w:val="left" w:pos="5580"/>
        </w:tabs>
        <w:jc w:val="left"/>
        <w:rPr>
          <w:color w:val="auto"/>
          <w:sz w:val="24"/>
          <w:highlight w:val="none"/>
        </w:rPr>
      </w:pPr>
      <w:r>
        <w:rPr>
          <w:color w:val="auto"/>
          <w:sz w:val="24"/>
          <w:highlight w:val="none"/>
        </w:rPr>
        <w:t>1.</w:t>
      </w:r>
      <w:r>
        <w:rPr>
          <w:rFonts w:hint="eastAsia"/>
          <w:color w:val="auto"/>
          <w:sz w:val="24"/>
          <w:highlight w:val="none"/>
        </w:rPr>
        <w:t>对合同条款中的所有要求，除本表所列明的所有偏离外，均视作供应商已对之理解和响应。</w:t>
      </w:r>
    </w:p>
    <w:p w14:paraId="6C0151F3">
      <w:pP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“偏离情况”列应据实填写“无偏离”“正偏离”或“负偏离”。</w:t>
      </w:r>
    </w:p>
    <w:p w14:paraId="439E0E42">
      <w:pPr>
        <w:spacing w:line="360" w:lineRule="auto"/>
        <w:rPr>
          <w:color w:val="auto"/>
          <w:sz w:val="24"/>
          <w:szCs w:val="20"/>
          <w:highlight w:val="none"/>
        </w:rPr>
      </w:pPr>
    </w:p>
    <w:p w14:paraId="0025BDA4">
      <w:pPr>
        <w:spacing w:before="25" w:after="25" w:line="360" w:lineRule="auto"/>
        <w:rPr>
          <w:color w:val="auto"/>
          <w:sz w:val="24"/>
          <w:highlight w:val="none"/>
          <w:lang w:val="zh-CN"/>
        </w:rPr>
      </w:pPr>
    </w:p>
    <w:p w14:paraId="0B15402D">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：____________</w:t>
      </w:r>
    </w:p>
    <w:p w14:paraId="32C67113">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3B25AC65">
      <w:pPr>
        <w:rPr>
          <w:color w:val="auto"/>
          <w:sz w:val="24"/>
          <w:szCs w:val="20"/>
          <w:highlight w:val="none"/>
        </w:rPr>
      </w:pPr>
      <w:r>
        <w:rPr>
          <w:color w:val="auto"/>
          <w:sz w:val="24"/>
          <w:szCs w:val="20"/>
          <w:highlight w:val="none"/>
        </w:rPr>
        <w:br w:type="page" w:clear="all"/>
      </w:r>
      <w:bookmarkEnd w:id="602"/>
      <w:bookmarkEnd w:id="603"/>
      <w:bookmarkEnd w:id="604"/>
      <w:bookmarkEnd w:id="605"/>
      <w:bookmarkEnd w:id="606"/>
      <w:bookmarkEnd w:id="607"/>
      <w:bookmarkEnd w:id="608"/>
      <w:bookmarkEnd w:id="609"/>
      <w:bookmarkEnd w:id="610"/>
      <w:bookmarkEnd w:id="611"/>
      <w:bookmarkEnd w:id="612"/>
      <w:bookmarkEnd w:id="613"/>
      <w:bookmarkEnd w:id="614"/>
      <w:r>
        <w:rPr>
          <w:rFonts w:hint="eastAsia"/>
          <w:color w:val="auto"/>
          <w:sz w:val="24"/>
          <w:szCs w:val="20"/>
          <w:highlight w:val="none"/>
          <w:lang w:val="en-US" w:eastAsia="zh-CN"/>
        </w:rPr>
        <w:t>9</w:t>
      </w:r>
      <w:r>
        <w:rPr>
          <w:color w:val="auto"/>
          <w:sz w:val="24"/>
          <w:szCs w:val="20"/>
          <w:highlight w:val="none"/>
        </w:rPr>
        <w:t>采购需求偏离表（实质性格式）</w:t>
      </w:r>
    </w:p>
    <w:p w14:paraId="084D9EEF">
      <w:pPr>
        <w:jc w:val="center"/>
        <w:rPr>
          <w:b/>
          <w:color w:val="auto"/>
          <w:sz w:val="36"/>
          <w:szCs w:val="36"/>
          <w:highlight w:val="none"/>
        </w:rPr>
      </w:pPr>
      <w:r>
        <w:rPr>
          <w:rFonts w:hint="eastAsia"/>
          <w:b/>
          <w:color w:val="auto"/>
          <w:sz w:val="36"/>
          <w:szCs w:val="36"/>
          <w:highlight w:val="none"/>
        </w:rPr>
        <w:t>采购需求偏离表</w:t>
      </w:r>
    </w:p>
    <w:p w14:paraId="7DDADA00">
      <w:pPr>
        <w:jc w:val="center"/>
        <w:rPr>
          <w:color w:val="auto"/>
          <w:sz w:val="36"/>
          <w:szCs w:val="36"/>
          <w:highlight w:val="none"/>
        </w:rPr>
      </w:pPr>
    </w:p>
    <w:p w14:paraId="5834504B">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项目编号/包号</w:t>
      </w:r>
      <w:r>
        <w:rPr>
          <w:rFonts w:hint="eastAsia"/>
          <w:color w:val="auto"/>
          <w:sz w:val="24"/>
          <w:highlight w:val="none"/>
          <w:lang w:eastAsia="zh-CN"/>
        </w:rPr>
        <w:t>：</w:t>
      </w:r>
      <w:r>
        <w:rPr>
          <w:rFonts w:hint="eastAsia"/>
          <w:color w:val="auto"/>
          <w:sz w:val="24"/>
          <w:szCs w:val="20"/>
          <w:highlight w:val="none"/>
          <w:u w:val="single"/>
          <w:lang w:eastAsia="zh-CN"/>
        </w:rPr>
        <w:t>JSZC-320412-CZZY-C2025-0050</w:t>
      </w:r>
    </w:p>
    <w:p w14:paraId="1BAA066B">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项目名称：</w:t>
      </w:r>
      <w:r>
        <w:rPr>
          <w:rFonts w:hint="eastAsia"/>
          <w:color w:val="auto"/>
          <w:sz w:val="24"/>
          <w:szCs w:val="20"/>
          <w:highlight w:val="none"/>
          <w:u w:val="single"/>
          <w:lang w:eastAsia="zh-CN"/>
        </w:rPr>
        <w:t>感统训练技术人才引进项目（二次）</w:t>
      </w:r>
    </w:p>
    <w:tbl>
      <w:tblPr>
        <w:tblStyle w:val="38"/>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2104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5B10165F">
            <w:pPr>
              <w:tabs>
                <w:tab w:val="left" w:pos="1800"/>
                <w:tab w:val="left" w:pos="5580"/>
              </w:tabs>
              <w:spacing w:line="360" w:lineRule="auto"/>
              <w:ind w:firstLine="0"/>
              <w:jc w:val="left"/>
              <w:rPr>
                <w:color w:val="auto"/>
                <w:sz w:val="24"/>
                <w:highlight w:val="none"/>
              </w:rPr>
            </w:pPr>
            <w:r>
              <w:rPr>
                <w:color w:val="auto"/>
                <w:sz w:val="24"/>
                <w:highlight w:val="none"/>
              </w:rPr>
              <w:t>序号</w:t>
            </w:r>
          </w:p>
        </w:tc>
        <w:tc>
          <w:tcPr>
            <w:tcW w:w="1482" w:type="dxa"/>
            <w:noWrap w:val="0"/>
            <w:vAlign w:val="center"/>
          </w:tcPr>
          <w:p w14:paraId="30C0B8EE">
            <w:pPr>
              <w:tabs>
                <w:tab w:val="left" w:pos="1800"/>
                <w:tab w:val="left" w:pos="5580"/>
              </w:tabs>
              <w:spacing w:line="360" w:lineRule="auto"/>
              <w:ind w:firstLine="240"/>
              <w:jc w:val="left"/>
              <w:rPr>
                <w:color w:val="auto"/>
                <w:sz w:val="24"/>
                <w:highlight w:val="none"/>
              </w:rPr>
            </w:pPr>
            <w:r>
              <w:rPr>
                <w:color w:val="auto"/>
                <w:sz w:val="24"/>
                <w:highlight w:val="none"/>
              </w:rPr>
              <w:t>磋商文件条目号(页码)</w:t>
            </w:r>
          </w:p>
        </w:tc>
        <w:tc>
          <w:tcPr>
            <w:tcW w:w="2384" w:type="dxa"/>
            <w:noWrap w:val="0"/>
            <w:vAlign w:val="center"/>
          </w:tcPr>
          <w:p w14:paraId="52C5786E">
            <w:pPr>
              <w:tabs>
                <w:tab w:val="left" w:pos="1800"/>
                <w:tab w:val="left" w:pos="5580"/>
              </w:tabs>
              <w:spacing w:line="360" w:lineRule="auto"/>
              <w:ind w:firstLine="240"/>
              <w:jc w:val="left"/>
              <w:rPr>
                <w:color w:val="auto"/>
                <w:sz w:val="24"/>
                <w:highlight w:val="none"/>
              </w:rPr>
            </w:pPr>
            <w:r>
              <w:rPr>
                <w:color w:val="auto"/>
                <w:sz w:val="24"/>
                <w:highlight w:val="none"/>
              </w:rPr>
              <w:t>磋商文件要求</w:t>
            </w:r>
          </w:p>
        </w:tc>
        <w:tc>
          <w:tcPr>
            <w:tcW w:w="2126" w:type="dxa"/>
            <w:noWrap w:val="0"/>
            <w:vAlign w:val="center"/>
          </w:tcPr>
          <w:p w14:paraId="12943057">
            <w:pPr>
              <w:tabs>
                <w:tab w:val="left" w:pos="1800"/>
                <w:tab w:val="left" w:pos="5580"/>
              </w:tabs>
              <w:spacing w:line="360" w:lineRule="auto"/>
              <w:ind w:firstLine="240"/>
              <w:jc w:val="left"/>
              <w:rPr>
                <w:color w:val="auto"/>
                <w:sz w:val="24"/>
                <w:highlight w:val="none"/>
              </w:rPr>
            </w:pPr>
            <w:r>
              <w:rPr>
                <w:color w:val="auto"/>
                <w:sz w:val="24"/>
                <w:highlight w:val="none"/>
              </w:rPr>
              <w:t>响应内容</w:t>
            </w:r>
          </w:p>
        </w:tc>
        <w:tc>
          <w:tcPr>
            <w:tcW w:w="1875" w:type="dxa"/>
            <w:noWrap w:val="0"/>
            <w:vAlign w:val="center"/>
          </w:tcPr>
          <w:p w14:paraId="08F54A48">
            <w:pPr>
              <w:tabs>
                <w:tab w:val="left" w:pos="1800"/>
                <w:tab w:val="left" w:pos="5580"/>
              </w:tabs>
              <w:spacing w:line="360" w:lineRule="auto"/>
              <w:ind w:firstLine="240"/>
              <w:jc w:val="left"/>
              <w:rPr>
                <w:color w:val="auto"/>
                <w:sz w:val="24"/>
                <w:highlight w:val="none"/>
              </w:rPr>
            </w:pPr>
            <w:r>
              <w:rPr>
                <w:color w:val="auto"/>
                <w:sz w:val="24"/>
                <w:highlight w:val="none"/>
              </w:rPr>
              <w:t>偏离情况</w:t>
            </w:r>
          </w:p>
          <w:p w14:paraId="4D5D5629">
            <w:pPr>
              <w:tabs>
                <w:tab w:val="left" w:pos="1800"/>
                <w:tab w:val="left" w:pos="5580"/>
              </w:tabs>
              <w:spacing w:line="360" w:lineRule="auto"/>
              <w:ind w:firstLine="240"/>
              <w:jc w:val="left"/>
              <w:rPr>
                <w:color w:val="auto"/>
                <w:sz w:val="24"/>
                <w:highlight w:val="none"/>
              </w:rPr>
            </w:pPr>
            <w:r>
              <w:rPr>
                <w:color w:val="auto"/>
                <w:sz w:val="24"/>
                <w:szCs w:val="21"/>
                <w:highlight w:val="none"/>
              </w:rPr>
              <w:t>（据实填写）</w:t>
            </w:r>
          </w:p>
        </w:tc>
        <w:tc>
          <w:tcPr>
            <w:tcW w:w="1009" w:type="dxa"/>
            <w:noWrap w:val="0"/>
            <w:vAlign w:val="center"/>
          </w:tcPr>
          <w:p w14:paraId="3C7DF4CF">
            <w:pPr>
              <w:tabs>
                <w:tab w:val="left" w:pos="1800"/>
                <w:tab w:val="left" w:pos="5580"/>
              </w:tabs>
              <w:spacing w:line="360" w:lineRule="auto"/>
              <w:ind w:firstLine="240"/>
              <w:jc w:val="left"/>
              <w:rPr>
                <w:color w:val="auto"/>
                <w:sz w:val="24"/>
                <w:highlight w:val="none"/>
              </w:rPr>
            </w:pPr>
            <w:r>
              <w:rPr>
                <w:color w:val="auto"/>
                <w:sz w:val="24"/>
                <w:highlight w:val="none"/>
              </w:rPr>
              <w:t>说明</w:t>
            </w:r>
          </w:p>
        </w:tc>
      </w:tr>
      <w:tr w14:paraId="491A7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A8217A0">
            <w:pPr>
              <w:jc w:val="center"/>
              <w:rPr>
                <w:color w:val="auto"/>
                <w:sz w:val="24"/>
                <w:highlight w:val="none"/>
              </w:rPr>
            </w:pPr>
          </w:p>
        </w:tc>
        <w:tc>
          <w:tcPr>
            <w:tcW w:w="1482" w:type="dxa"/>
            <w:noWrap w:val="0"/>
            <w:vAlign w:val="center"/>
          </w:tcPr>
          <w:p w14:paraId="5B5BA93B">
            <w:pPr>
              <w:jc w:val="center"/>
              <w:rPr>
                <w:color w:val="auto"/>
                <w:sz w:val="24"/>
                <w:highlight w:val="none"/>
              </w:rPr>
            </w:pPr>
          </w:p>
        </w:tc>
        <w:tc>
          <w:tcPr>
            <w:tcW w:w="2384" w:type="dxa"/>
            <w:noWrap w:val="0"/>
            <w:vAlign w:val="center"/>
          </w:tcPr>
          <w:p w14:paraId="2001B938">
            <w:pPr>
              <w:jc w:val="center"/>
              <w:rPr>
                <w:color w:val="auto"/>
                <w:sz w:val="24"/>
                <w:highlight w:val="none"/>
              </w:rPr>
            </w:pPr>
          </w:p>
        </w:tc>
        <w:tc>
          <w:tcPr>
            <w:tcW w:w="2126" w:type="dxa"/>
            <w:noWrap w:val="0"/>
            <w:vAlign w:val="center"/>
          </w:tcPr>
          <w:p w14:paraId="18B3102A">
            <w:pPr>
              <w:jc w:val="center"/>
              <w:rPr>
                <w:color w:val="auto"/>
                <w:sz w:val="24"/>
                <w:highlight w:val="none"/>
              </w:rPr>
            </w:pPr>
          </w:p>
        </w:tc>
        <w:tc>
          <w:tcPr>
            <w:tcW w:w="1875" w:type="dxa"/>
            <w:noWrap w:val="0"/>
            <w:vAlign w:val="center"/>
          </w:tcPr>
          <w:p w14:paraId="02C5BF4C">
            <w:pPr>
              <w:jc w:val="center"/>
              <w:rPr>
                <w:color w:val="auto"/>
                <w:sz w:val="24"/>
                <w:highlight w:val="none"/>
              </w:rPr>
            </w:pPr>
          </w:p>
        </w:tc>
        <w:tc>
          <w:tcPr>
            <w:tcW w:w="1009" w:type="dxa"/>
            <w:noWrap w:val="0"/>
            <w:vAlign w:val="center"/>
          </w:tcPr>
          <w:p w14:paraId="2A002FB5">
            <w:pPr>
              <w:jc w:val="center"/>
              <w:rPr>
                <w:color w:val="auto"/>
                <w:sz w:val="24"/>
                <w:highlight w:val="none"/>
              </w:rPr>
            </w:pPr>
          </w:p>
        </w:tc>
      </w:tr>
      <w:tr w14:paraId="4E6B9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7CE0677">
            <w:pPr>
              <w:jc w:val="center"/>
              <w:rPr>
                <w:color w:val="auto"/>
                <w:sz w:val="24"/>
                <w:highlight w:val="none"/>
              </w:rPr>
            </w:pPr>
          </w:p>
        </w:tc>
        <w:tc>
          <w:tcPr>
            <w:tcW w:w="1482" w:type="dxa"/>
            <w:noWrap w:val="0"/>
            <w:vAlign w:val="center"/>
          </w:tcPr>
          <w:p w14:paraId="23000DE9">
            <w:pPr>
              <w:jc w:val="center"/>
              <w:rPr>
                <w:color w:val="auto"/>
                <w:sz w:val="24"/>
                <w:highlight w:val="none"/>
              </w:rPr>
            </w:pPr>
          </w:p>
        </w:tc>
        <w:tc>
          <w:tcPr>
            <w:tcW w:w="2384" w:type="dxa"/>
            <w:noWrap w:val="0"/>
            <w:vAlign w:val="center"/>
          </w:tcPr>
          <w:p w14:paraId="6D6482EA">
            <w:pPr>
              <w:jc w:val="center"/>
              <w:rPr>
                <w:color w:val="auto"/>
                <w:sz w:val="24"/>
                <w:highlight w:val="none"/>
              </w:rPr>
            </w:pPr>
          </w:p>
        </w:tc>
        <w:tc>
          <w:tcPr>
            <w:tcW w:w="2126" w:type="dxa"/>
            <w:noWrap w:val="0"/>
            <w:vAlign w:val="center"/>
          </w:tcPr>
          <w:p w14:paraId="2AAAD9A6">
            <w:pPr>
              <w:jc w:val="center"/>
              <w:rPr>
                <w:color w:val="auto"/>
                <w:sz w:val="24"/>
                <w:highlight w:val="none"/>
              </w:rPr>
            </w:pPr>
          </w:p>
        </w:tc>
        <w:tc>
          <w:tcPr>
            <w:tcW w:w="1875" w:type="dxa"/>
            <w:noWrap w:val="0"/>
            <w:vAlign w:val="center"/>
          </w:tcPr>
          <w:p w14:paraId="4DFBC02D">
            <w:pPr>
              <w:jc w:val="center"/>
              <w:rPr>
                <w:color w:val="auto"/>
                <w:sz w:val="24"/>
                <w:highlight w:val="none"/>
              </w:rPr>
            </w:pPr>
          </w:p>
        </w:tc>
        <w:tc>
          <w:tcPr>
            <w:tcW w:w="1009" w:type="dxa"/>
            <w:noWrap w:val="0"/>
            <w:vAlign w:val="center"/>
          </w:tcPr>
          <w:p w14:paraId="64277CCA">
            <w:pPr>
              <w:jc w:val="center"/>
              <w:rPr>
                <w:color w:val="auto"/>
                <w:sz w:val="24"/>
                <w:highlight w:val="none"/>
              </w:rPr>
            </w:pPr>
          </w:p>
        </w:tc>
      </w:tr>
      <w:tr w14:paraId="28A6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F8E2CC1">
            <w:pPr>
              <w:jc w:val="center"/>
              <w:rPr>
                <w:color w:val="auto"/>
                <w:sz w:val="24"/>
                <w:highlight w:val="none"/>
              </w:rPr>
            </w:pPr>
          </w:p>
        </w:tc>
        <w:tc>
          <w:tcPr>
            <w:tcW w:w="1482" w:type="dxa"/>
            <w:noWrap w:val="0"/>
            <w:vAlign w:val="center"/>
          </w:tcPr>
          <w:p w14:paraId="4481A96A">
            <w:pPr>
              <w:jc w:val="center"/>
              <w:rPr>
                <w:color w:val="auto"/>
                <w:sz w:val="24"/>
                <w:highlight w:val="none"/>
              </w:rPr>
            </w:pPr>
          </w:p>
        </w:tc>
        <w:tc>
          <w:tcPr>
            <w:tcW w:w="2384" w:type="dxa"/>
            <w:noWrap w:val="0"/>
            <w:vAlign w:val="center"/>
          </w:tcPr>
          <w:p w14:paraId="336C28D8">
            <w:pPr>
              <w:jc w:val="center"/>
              <w:rPr>
                <w:color w:val="auto"/>
                <w:sz w:val="24"/>
                <w:highlight w:val="none"/>
              </w:rPr>
            </w:pPr>
          </w:p>
        </w:tc>
        <w:tc>
          <w:tcPr>
            <w:tcW w:w="2126" w:type="dxa"/>
            <w:noWrap w:val="0"/>
            <w:vAlign w:val="center"/>
          </w:tcPr>
          <w:p w14:paraId="17F5C7A3">
            <w:pPr>
              <w:jc w:val="center"/>
              <w:rPr>
                <w:color w:val="auto"/>
                <w:sz w:val="24"/>
                <w:highlight w:val="none"/>
              </w:rPr>
            </w:pPr>
          </w:p>
        </w:tc>
        <w:tc>
          <w:tcPr>
            <w:tcW w:w="1875" w:type="dxa"/>
            <w:noWrap w:val="0"/>
            <w:vAlign w:val="center"/>
          </w:tcPr>
          <w:p w14:paraId="12255826">
            <w:pPr>
              <w:jc w:val="center"/>
              <w:rPr>
                <w:color w:val="auto"/>
                <w:sz w:val="24"/>
                <w:highlight w:val="none"/>
              </w:rPr>
            </w:pPr>
          </w:p>
        </w:tc>
        <w:tc>
          <w:tcPr>
            <w:tcW w:w="1009" w:type="dxa"/>
            <w:noWrap w:val="0"/>
            <w:vAlign w:val="center"/>
          </w:tcPr>
          <w:p w14:paraId="10431EAE">
            <w:pPr>
              <w:jc w:val="center"/>
              <w:rPr>
                <w:color w:val="auto"/>
                <w:sz w:val="24"/>
                <w:highlight w:val="none"/>
              </w:rPr>
            </w:pPr>
          </w:p>
        </w:tc>
      </w:tr>
      <w:tr w14:paraId="2B664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910541B">
            <w:pPr>
              <w:jc w:val="center"/>
              <w:rPr>
                <w:color w:val="auto"/>
                <w:sz w:val="24"/>
                <w:highlight w:val="none"/>
              </w:rPr>
            </w:pPr>
          </w:p>
        </w:tc>
        <w:tc>
          <w:tcPr>
            <w:tcW w:w="1482" w:type="dxa"/>
            <w:noWrap w:val="0"/>
            <w:vAlign w:val="center"/>
          </w:tcPr>
          <w:p w14:paraId="79B469FA">
            <w:pPr>
              <w:jc w:val="center"/>
              <w:rPr>
                <w:color w:val="auto"/>
                <w:sz w:val="24"/>
                <w:highlight w:val="none"/>
              </w:rPr>
            </w:pPr>
          </w:p>
        </w:tc>
        <w:tc>
          <w:tcPr>
            <w:tcW w:w="2384" w:type="dxa"/>
            <w:noWrap w:val="0"/>
            <w:vAlign w:val="center"/>
          </w:tcPr>
          <w:p w14:paraId="4953194D">
            <w:pPr>
              <w:jc w:val="center"/>
              <w:rPr>
                <w:color w:val="auto"/>
                <w:sz w:val="24"/>
                <w:highlight w:val="none"/>
              </w:rPr>
            </w:pPr>
          </w:p>
        </w:tc>
        <w:tc>
          <w:tcPr>
            <w:tcW w:w="2126" w:type="dxa"/>
            <w:noWrap w:val="0"/>
            <w:vAlign w:val="center"/>
          </w:tcPr>
          <w:p w14:paraId="0365DB28">
            <w:pPr>
              <w:jc w:val="center"/>
              <w:rPr>
                <w:color w:val="auto"/>
                <w:sz w:val="24"/>
                <w:highlight w:val="none"/>
              </w:rPr>
            </w:pPr>
          </w:p>
        </w:tc>
        <w:tc>
          <w:tcPr>
            <w:tcW w:w="1875" w:type="dxa"/>
            <w:noWrap w:val="0"/>
            <w:vAlign w:val="center"/>
          </w:tcPr>
          <w:p w14:paraId="68FAEBDA">
            <w:pPr>
              <w:jc w:val="center"/>
              <w:rPr>
                <w:color w:val="auto"/>
                <w:sz w:val="24"/>
                <w:highlight w:val="none"/>
              </w:rPr>
            </w:pPr>
          </w:p>
        </w:tc>
        <w:tc>
          <w:tcPr>
            <w:tcW w:w="1009" w:type="dxa"/>
            <w:noWrap w:val="0"/>
            <w:vAlign w:val="center"/>
          </w:tcPr>
          <w:p w14:paraId="485FF77B">
            <w:pPr>
              <w:jc w:val="center"/>
              <w:rPr>
                <w:color w:val="auto"/>
                <w:sz w:val="24"/>
                <w:highlight w:val="none"/>
              </w:rPr>
            </w:pPr>
          </w:p>
        </w:tc>
      </w:tr>
      <w:tr w14:paraId="7220C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11A171E">
            <w:pPr>
              <w:jc w:val="center"/>
              <w:rPr>
                <w:color w:val="auto"/>
                <w:sz w:val="24"/>
                <w:highlight w:val="none"/>
              </w:rPr>
            </w:pPr>
          </w:p>
        </w:tc>
        <w:tc>
          <w:tcPr>
            <w:tcW w:w="1482" w:type="dxa"/>
            <w:noWrap w:val="0"/>
            <w:vAlign w:val="center"/>
          </w:tcPr>
          <w:p w14:paraId="24A131FF">
            <w:pPr>
              <w:jc w:val="center"/>
              <w:rPr>
                <w:color w:val="auto"/>
                <w:sz w:val="24"/>
                <w:highlight w:val="none"/>
              </w:rPr>
            </w:pPr>
          </w:p>
        </w:tc>
        <w:tc>
          <w:tcPr>
            <w:tcW w:w="2384" w:type="dxa"/>
            <w:noWrap w:val="0"/>
            <w:vAlign w:val="center"/>
          </w:tcPr>
          <w:p w14:paraId="0CBC733E">
            <w:pPr>
              <w:jc w:val="center"/>
              <w:rPr>
                <w:color w:val="auto"/>
                <w:sz w:val="24"/>
                <w:highlight w:val="none"/>
              </w:rPr>
            </w:pPr>
          </w:p>
        </w:tc>
        <w:tc>
          <w:tcPr>
            <w:tcW w:w="2126" w:type="dxa"/>
            <w:noWrap w:val="0"/>
            <w:vAlign w:val="center"/>
          </w:tcPr>
          <w:p w14:paraId="450BEFF4">
            <w:pPr>
              <w:jc w:val="center"/>
              <w:rPr>
                <w:color w:val="auto"/>
                <w:sz w:val="24"/>
                <w:highlight w:val="none"/>
              </w:rPr>
            </w:pPr>
          </w:p>
        </w:tc>
        <w:tc>
          <w:tcPr>
            <w:tcW w:w="1875" w:type="dxa"/>
            <w:noWrap w:val="0"/>
            <w:vAlign w:val="center"/>
          </w:tcPr>
          <w:p w14:paraId="5E29D397">
            <w:pPr>
              <w:jc w:val="center"/>
              <w:rPr>
                <w:color w:val="auto"/>
                <w:sz w:val="24"/>
                <w:highlight w:val="none"/>
              </w:rPr>
            </w:pPr>
          </w:p>
        </w:tc>
        <w:tc>
          <w:tcPr>
            <w:tcW w:w="1009" w:type="dxa"/>
            <w:noWrap w:val="0"/>
            <w:vAlign w:val="center"/>
          </w:tcPr>
          <w:p w14:paraId="3B1E8930">
            <w:pPr>
              <w:jc w:val="center"/>
              <w:rPr>
                <w:color w:val="auto"/>
                <w:sz w:val="24"/>
                <w:highlight w:val="none"/>
              </w:rPr>
            </w:pPr>
          </w:p>
        </w:tc>
      </w:tr>
    </w:tbl>
    <w:p w14:paraId="05D49B36">
      <w:pPr>
        <w:tabs>
          <w:tab w:val="left" w:pos="1800"/>
          <w:tab w:val="left" w:pos="5580"/>
        </w:tabs>
        <w:spacing w:line="360" w:lineRule="auto"/>
        <w:ind w:firstLine="360"/>
        <w:jc w:val="left"/>
        <w:rPr>
          <w:color w:val="auto"/>
          <w:sz w:val="24"/>
          <w:highlight w:val="none"/>
          <w:u w:val="single"/>
        </w:rPr>
      </w:pPr>
    </w:p>
    <w:p w14:paraId="4494A7A6">
      <w:pPr>
        <w:tabs>
          <w:tab w:val="left" w:pos="1800"/>
          <w:tab w:val="left" w:pos="5580"/>
        </w:tabs>
        <w:spacing w:line="360" w:lineRule="auto"/>
        <w:ind w:firstLine="360"/>
        <w:jc w:val="left"/>
        <w:rPr>
          <w:color w:val="auto"/>
          <w:sz w:val="24"/>
          <w:highlight w:val="none"/>
          <w:u w:val="single"/>
        </w:rPr>
      </w:pPr>
    </w:p>
    <w:p w14:paraId="2A76EF73">
      <w:pPr>
        <w:tabs>
          <w:tab w:val="left" w:pos="1800"/>
          <w:tab w:val="left" w:pos="5580"/>
        </w:tabs>
        <w:jc w:val="left"/>
        <w:rPr>
          <w:color w:val="auto"/>
          <w:sz w:val="24"/>
          <w:highlight w:val="none"/>
        </w:rPr>
      </w:pPr>
      <w:r>
        <w:rPr>
          <w:color w:val="auto"/>
          <w:sz w:val="24"/>
          <w:highlight w:val="none"/>
        </w:rPr>
        <w:t>注：</w:t>
      </w:r>
    </w:p>
    <w:p w14:paraId="3FACDBE8">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对磋商文件中的所有商务、技术要求，除本表所列明的所有偏离外，均视作供应商已对之理解和</w:t>
      </w:r>
      <w:r>
        <w:rPr>
          <w:rFonts w:hint="eastAsia"/>
          <w:color w:val="auto"/>
          <w:sz w:val="24"/>
          <w:highlight w:val="none"/>
        </w:rPr>
        <w:t>响应</w:t>
      </w:r>
      <w:r>
        <w:rPr>
          <w:color w:val="auto"/>
          <w:sz w:val="24"/>
          <w:highlight w:val="none"/>
        </w:rPr>
        <w:t>。此表中若无任何文字说明，内容为空白，则</w:t>
      </w:r>
      <w:r>
        <w:rPr>
          <w:b/>
          <w:color w:val="auto"/>
          <w:sz w:val="24"/>
          <w:highlight w:val="none"/>
        </w:rPr>
        <w:t>响应无效</w:t>
      </w:r>
      <w:r>
        <w:rPr>
          <w:color w:val="auto"/>
          <w:sz w:val="24"/>
          <w:highlight w:val="none"/>
        </w:rPr>
        <w:t>。</w:t>
      </w:r>
    </w:p>
    <w:p w14:paraId="4667F674">
      <w:pPr>
        <w:tabs>
          <w:tab w:val="left" w:pos="1800"/>
          <w:tab w:val="left" w:pos="5580"/>
        </w:tabs>
        <w:jc w:val="left"/>
        <w:rPr>
          <w:color w:val="auto"/>
          <w:sz w:val="24"/>
          <w:highlight w:val="none"/>
        </w:rPr>
      </w:pPr>
      <w:r>
        <w:rPr>
          <w:rFonts w:hint="eastAsia"/>
          <w:color w:val="auto"/>
          <w:sz w:val="24"/>
          <w:highlight w:val="none"/>
        </w:rPr>
        <w:t>2.“偏离情况”列应据实填写“无偏离”、“正偏离”或“负偏离”。</w:t>
      </w:r>
    </w:p>
    <w:p w14:paraId="2FDEA0B7">
      <w:pPr>
        <w:rPr>
          <w:color w:val="auto"/>
          <w:sz w:val="24"/>
          <w:szCs w:val="20"/>
          <w:highlight w:val="none"/>
        </w:rPr>
      </w:pPr>
    </w:p>
    <w:p w14:paraId="666F83E0">
      <w:pPr>
        <w:spacing w:before="25" w:after="25" w:line="360" w:lineRule="auto"/>
        <w:rPr>
          <w:color w:val="auto"/>
          <w:sz w:val="24"/>
          <w:highlight w:val="none"/>
          <w:lang w:val="zh-CN"/>
        </w:rPr>
      </w:pPr>
    </w:p>
    <w:p w14:paraId="6D2435CA">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248F185B">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7119428B">
      <w:pPr>
        <w:rPr>
          <w:color w:val="auto"/>
          <w:sz w:val="24"/>
          <w:szCs w:val="20"/>
          <w:highlight w:val="none"/>
          <w:lang w:val="zh-CN"/>
        </w:rPr>
      </w:pPr>
    </w:p>
    <w:p w14:paraId="1AADE96C">
      <w:pPr>
        <w:pStyle w:val="307"/>
        <w:ind w:firstLine="480"/>
        <w:rPr>
          <w:color w:val="auto"/>
          <w:highlight w:val="none"/>
        </w:rPr>
      </w:pPr>
    </w:p>
    <w:p w14:paraId="5B6764BD">
      <w:pPr>
        <w:spacing w:line="360" w:lineRule="auto"/>
        <w:rPr>
          <w:color w:val="auto"/>
          <w:sz w:val="24"/>
          <w:szCs w:val="20"/>
          <w:highlight w:val="none"/>
        </w:rPr>
      </w:pPr>
    </w:p>
    <w:p w14:paraId="4B204410">
      <w:pPr>
        <w:pStyle w:val="307"/>
        <w:ind w:firstLine="480"/>
        <w:rPr>
          <w:color w:val="auto"/>
          <w:highlight w:val="none"/>
        </w:rPr>
      </w:pPr>
    </w:p>
    <w:p w14:paraId="24866F0F">
      <w:pPr>
        <w:rPr>
          <w:color w:val="auto"/>
          <w:highlight w:val="none"/>
        </w:rPr>
      </w:pPr>
    </w:p>
    <w:p w14:paraId="1D189B9B">
      <w:pPr>
        <w:rPr>
          <w:color w:val="auto"/>
          <w:sz w:val="24"/>
          <w:highlight w:val="none"/>
        </w:rPr>
      </w:pPr>
    </w:p>
    <w:p w14:paraId="3B81B467">
      <w:pPr>
        <w:rPr>
          <w:color w:val="auto"/>
          <w:sz w:val="24"/>
          <w:highlight w:val="none"/>
        </w:rPr>
      </w:pPr>
      <w:r>
        <w:rPr>
          <w:rFonts w:hint="eastAsia"/>
          <w:color w:val="auto"/>
          <w:sz w:val="24"/>
          <w:szCs w:val="20"/>
          <w:highlight w:val="none"/>
          <w:lang w:val="en-US" w:eastAsia="zh-CN"/>
        </w:rPr>
        <w:t>10</w:t>
      </w:r>
      <w:r>
        <w:rPr>
          <w:rFonts w:hint="eastAsia"/>
          <w:color w:val="auto"/>
          <w:sz w:val="24"/>
          <w:szCs w:val="20"/>
          <w:highlight w:val="none"/>
        </w:rPr>
        <w:t xml:space="preserve">  参加本项目人员一览表</w:t>
      </w:r>
    </w:p>
    <w:p w14:paraId="4D6B2D94">
      <w:pPr>
        <w:spacing w:line="360" w:lineRule="auto"/>
        <w:jc w:val="center"/>
        <w:rPr>
          <w:rFonts w:ascii="宋体" w:hAnsi="宋体"/>
          <w:b/>
          <w:color w:val="auto"/>
          <w:sz w:val="32"/>
          <w:szCs w:val="32"/>
          <w:highlight w:val="none"/>
        </w:rPr>
      </w:pPr>
    </w:p>
    <w:p w14:paraId="5153AC5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参加本项目人员一览表</w:t>
      </w:r>
    </w:p>
    <w:p w14:paraId="065D7F98">
      <w:pPr>
        <w:spacing w:line="360" w:lineRule="auto"/>
        <w:rPr>
          <w:rFonts w:ascii="宋体" w:hAnsi="宋体"/>
          <w:color w:val="auto"/>
          <w:sz w:val="22"/>
          <w:highlight w:val="none"/>
        </w:rPr>
      </w:pPr>
    </w:p>
    <w:p w14:paraId="26E8D95F">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项目编号/包号</w:t>
      </w:r>
      <w:r>
        <w:rPr>
          <w:rFonts w:hint="eastAsia"/>
          <w:color w:val="auto"/>
          <w:sz w:val="24"/>
          <w:highlight w:val="none"/>
          <w:lang w:eastAsia="zh-CN"/>
        </w:rPr>
        <w:t>：</w:t>
      </w:r>
      <w:r>
        <w:rPr>
          <w:rFonts w:hint="eastAsia"/>
          <w:color w:val="auto"/>
          <w:sz w:val="24"/>
          <w:szCs w:val="20"/>
          <w:highlight w:val="none"/>
          <w:u w:val="single"/>
          <w:lang w:eastAsia="zh-CN"/>
        </w:rPr>
        <w:t>JSZC-320412-CZZY-C2025-0050</w:t>
      </w:r>
    </w:p>
    <w:p w14:paraId="46DFCFF1">
      <w:pPr>
        <w:tabs>
          <w:tab w:val="left" w:pos="1800"/>
          <w:tab w:val="left" w:pos="5580"/>
        </w:tabs>
        <w:spacing w:line="360" w:lineRule="auto"/>
        <w:ind w:firstLine="240"/>
        <w:jc w:val="left"/>
        <w:rPr>
          <w:rFonts w:hint="eastAsia"/>
          <w:color w:val="auto"/>
          <w:sz w:val="24"/>
          <w:szCs w:val="20"/>
          <w:highlight w:val="none"/>
          <w:u w:val="single"/>
          <w:lang w:eastAsia="zh-CN"/>
        </w:rPr>
      </w:pPr>
      <w:r>
        <w:rPr>
          <w:color w:val="auto"/>
          <w:sz w:val="24"/>
          <w:highlight w:val="none"/>
        </w:rPr>
        <w:t>项目名称：</w:t>
      </w:r>
      <w:r>
        <w:rPr>
          <w:rFonts w:hint="eastAsia"/>
          <w:color w:val="auto"/>
          <w:sz w:val="24"/>
          <w:szCs w:val="20"/>
          <w:highlight w:val="none"/>
          <w:u w:val="single"/>
          <w:lang w:eastAsia="zh-CN"/>
        </w:rPr>
        <w:t>感统训练技术人才引进项目（二次）</w:t>
      </w:r>
    </w:p>
    <w:tbl>
      <w:tblPr>
        <w:tblStyle w:val="38"/>
        <w:tblW w:w="9615"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95"/>
        <w:gridCol w:w="975"/>
        <w:gridCol w:w="915"/>
        <w:gridCol w:w="1205"/>
        <w:gridCol w:w="730"/>
        <w:gridCol w:w="900"/>
        <w:gridCol w:w="1065"/>
        <w:gridCol w:w="1035"/>
        <w:gridCol w:w="1230"/>
      </w:tblGrid>
      <w:tr w14:paraId="1FB6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14:paraId="0D402B06">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序号</w:t>
            </w:r>
          </w:p>
        </w:tc>
        <w:tc>
          <w:tcPr>
            <w:tcW w:w="795" w:type="dxa"/>
            <w:noWrap w:val="0"/>
            <w:vAlign w:val="center"/>
          </w:tcPr>
          <w:p w14:paraId="591B1C56">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姓名</w:t>
            </w:r>
          </w:p>
        </w:tc>
        <w:tc>
          <w:tcPr>
            <w:tcW w:w="975" w:type="dxa"/>
            <w:noWrap w:val="0"/>
            <w:vAlign w:val="center"/>
          </w:tcPr>
          <w:p w14:paraId="528C8B72">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性别</w:t>
            </w:r>
          </w:p>
        </w:tc>
        <w:tc>
          <w:tcPr>
            <w:tcW w:w="915" w:type="dxa"/>
            <w:noWrap w:val="0"/>
            <w:vAlign w:val="center"/>
          </w:tcPr>
          <w:p w14:paraId="6B9F9B80">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年龄</w:t>
            </w:r>
          </w:p>
        </w:tc>
        <w:tc>
          <w:tcPr>
            <w:tcW w:w="1205" w:type="dxa"/>
            <w:noWrap w:val="0"/>
            <w:vAlign w:val="center"/>
          </w:tcPr>
          <w:p w14:paraId="0E2FEC51">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毕业学校和学历</w:t>
            </w:r>
          </w:p>
        </w:tc>
        <w:tc>
          <w:tcPr>
            <w:tcW w:w="730" w:type="dxa"/>
            <w:noWrap w:val="0"/>
            <w:vAlign w:val="center"/>
          </w:tcPr>
          <w:p w14:paraId="3FF24809">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专业</w:t>
            </w:r>
          </w:p>
        </w:tc>
        <w:tc>
          <w:tcPr>
            <w:tcW w:w="900" w:type="dxa"/>
            <w:noWrap w:val="0"/>
            <w:vAlign w:val="center"/>
          </w:tcPr>
          <w:p w14:paraId="2CC7277B">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职称</w:t>
            </w:r>
          </w:p>
        </w:tc>
        <w:tc>
          <w:tcPr>
            <w:tcW w:w="1065" w:type="dxa"/>
            <w:noWrap w:val="0"/>
            <w:vAlign w:val="center"/>
          </w:tcPr>
          <w:p w14:paraId="044560E8">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专业培训及证书</w:t>
            </w:r>
          </w:p>
        </w:tc>
        <w:tc>
          <w:tcPr>
            <w:tcW w:w="1035" w:type="dxa"/>
            <w:noWrap w:val="0"/>
            <w:vAlign w:val="center"/>
          </w:tcPr>
          <w:p w14:paraId="7AB013E1">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责任</w:t>
            </w:r>
          </w:p>
          <w:p w14:paraId="58D00FD3">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或分工</w:t>
            </w:r>
          </w:p>
        </w:tc>
        <w:tc>
          <w:tcPr>
            <w:tcW w:w="1230" w:type="dxa"/>
            <w:noWrap w:val="0"/>
            <w:vAlign w:val="center"/>
          </w:tcPr>
          <w:p w14:paraId="61BC8C86">
            <w:pPr>
              <w:tabs>
                <w:tab w:val="left" w:pos="1800"/>
                <w:tab w:val="left" w:pos="5580"/>
              </w:tabs>
              <w:spacing w:line="360" w:lineRule="auto"/>
              <w:ind w:firstLine="240"/>
              <w:jc w:val="left"/>
              <w:rPr>
                <w:rFonts w:ascii="宋体" w:hAnsi="宋体" w:cs="宋体"/>
                <w:color w:val="auto"/>
                <w:sz w:val="24"/>
                <w:highlight w:val="none"/>
              </w:rPr>
            </w:pPr>
            <w:r>
              <w:rPr>
                <w:rFonts w:hint="eastAsia" w:ascii="宋体" w:hAnsi="宋体" w:cs="宋体"/>
                <w:color w:val="auto"/>
                <w:sz w:val="24"/>
                <w:highlight w:val="none"/>
              </w:rPr>
              <w:t>项目经历或主要工作业绩</w:t>
            </w:r>
          </w:p>
        </w:tc>
      </w:tr>
      <w:tr w14:paraId="357B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71E9DB9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val="0"/>
          </w:tcPr>
          <w:p w14:paraId="0E49F89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val="0"/>
          </w:tcPr>
          <w:p w14:paraId="1E51DC5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val="0"/>
          </w:tcPr>
          <w:p w14:paraId="3FB9251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val="0"/>
          </w:tcPr>
          <w:p w14:paraId="4AFBE20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val="0"/>
          </w:tcPr>
          <w:p w14:paraId="6C8F4B0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val="0"/>
          </w:tcPr>
          <w:p w14:paraId="4EA8165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val="0"/>
          </w:tcPr>
          <w:p w14:paraId="10A813E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val="0"/>
          </w:tcPr>
          <w:p w14:paraId="42734D6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val="0"/>
          </w:tcPr>
          <w:p w14:paraId="1A4EF6D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4C5E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533FCA22">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val="0"/>
          </w:tcPr>
          <w:p w14:paraId="63EA1BC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val="0"/>
          </w:tcPr>
          <w:p w14:paraId="7A04A7DD">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val="0"/>
          </w:tcPr>
          <w:p w14:paraId="6A3534AE">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val="0"/>
          </w:tcPr>
          <w:p w14:paraId="36E7808F">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val="0"/>
          </w:tcPr>
          <w:p w14:paraId="23A591E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val="0"/>
          </w:tcPr>
          <w:p w14:paraId="4905A2D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val="0"/>
          </w:tcPr>
          <w:p w14:paraId="7AA8C10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val="0"/>
          </w:tcPr>
          <w:p w14:paraId="4DCC350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val="0"/>
          </w:tcPr>
          <w:p w14:paraId="7CE4AE9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r w14:paraId="3AC0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7AE7CAD6">
            <w:pPr>
              <w:tabs>
                <w:tab w:val="left" w:pos="9765"/>
              </w:tabs>
              <w:spacing w:line="360" w:lineRule="auto"/>
              <w:rPr>
                <w:rFonts w:ascii="宋体" w:hAnsi="宋体" w:cs="宋体"/>
                <w:color w:val="auto"/>
                <w:sz w:val="24"/>
                <w:highlight w:val="none"/>
              </w:rPr>
            </w:pPr>
          </w:p>
        </w:tc>
        <w:tc>
          <w:tcPr>
            <w:tcW w:w="795" w:type="dxa"/>
            <w:noWrap w:val="0"/>
          </w:tcPr>
          <w:p w14:paraId="4141DCAF">
            <w:pPr>
              <w:tabs>
                <w:tab w:val="left" w:pos="9765"/>
              </w:tabs>
              <w:spacing w:line="360" w:lineRule="auto"/>
              <w:rPr>
                <w:rFonts w:ascii="宋体" w:hAnsi="宋体" w:cs="宋体"/>
                <w:color w:val="auto"/>
                <w:sz w:val="24"/>
                <w:highlight w:val="none"/>
              </w:rPr>
            </w:pPr>
          </w:p>
        </w:tc>
        <w:tc>
          <w:tcPr>
            <w:tcW w:w="975" w:type="dxa"/>
            <w:noWrap w:val="0"/>
          </w:tcPr>
          <w:p w14:paraId="3928A15D">
            <w:pPr>
              <w:tabs>
                <w:tab w:val="left" w:pos="9765"/>
              </w:tabs>
              <w:spacing w:line="360" w:lineRule="auto"/>
              <w:rPr>
                <w:rFonts w:ascii="宋体" w:hAnsi="宋体" w:cs="宋体"/>
                <w:color w:val="auto"/>
                <w:sz w:val="24"/>
                <w:highlight w:val="none"/>
              </w:rPr>
            </w:pPr>
          </w:p>
        </w:tc>
        <w:tc>
          <w:tcPr>
            <w:tcW w:w="915" w:type="dxa"/>
            <w:noWrap w:val="0"/>
          </w:tcPr>
          <w:p w14:paraId="0A843413">
            <w:pPr>
              <w:tabs>
                <w:tab w:val="left" w:pos="9765"/>
              </w:tabs>
              <w:spacing w:line="360" w:lineRule="auto"/>
              <w:rPr>
                <w:rFonts w:ascii="宋体" w:hAnsi="宋体" w:cs="宋体"/>
                <w:color w:val="auto"/>
                <w:sz w:val="24"/>
                <w:highlight w:val="none"/>
              </w:rPr>
            </w:pPr>
          </w:p>
        </w:tc>
        <w:tc>
          <w:tcPr>
            <w:tcW w:w="1205" w:type="dxa"/>
            <w:noWrap w:val="0"/>
          </w:tcPr>
          <w:p w14:paraId="066FEA49">
            <w:pPr>
              <w:tabs>
                <w:tab w:val="left" w:pos="9765"/>
              </w:tabs>
              <w:spacing w:line="360" w:lineRule="auto"/>
              <w:rPr>
                <w:rFonts w:ascii="宋体" w:hAnsi="宋体" w:cs="宋体"/>
                <w:color w:val="auto"/>
                <w:sz w:val="24"/>
                <w:highlight w:val="none"/>
              </w:rPr>
            </w:pPr>
          </w:p>
        </w:tc>
        <w:tc>
          <w:tcPr>
            <w:tcW w:w="730" w:type="dxa"/>
            <w:noWrap w:val="0"/>
          </w:tcPr>
          <w:p w14:paraId="2998DCDA">
            <w:pPr>
              <w:tabs>
                <w:tab w:val="left" w:pos="9765"/>
              </w:tabs>
              <w:spacing w:line="360" w:lineRule="auto"/>
              <w:rPr>
                <w:rFonts w:ascii="宋体" w:hAnsi="宋体" w:cs="宋体"/>
                <w:color w:val="auto"/>
                <w:sz w:val="24"/>
                <w:highlight w:val="none"/>
              </w:rPr>
            </w:pPr>
          </w:p>
        </w:tc>
        <w:tc>
          <w:tcPr>
            <w:tcW w:w="900" w:type="dxa"/>
            <w:noWrap w:val="0"/>
          </w:tcPr>
          <w:p w14:paraId="3420B9D6">
            <w:pPr>
              <w:tabs>
                <w:tab w:val="left" w:pos="9765"/>
              </w:tabs>
              <w:spacing w:line="360" w:lineRule="auto"/>
              <w:rPr>
                <w:rFonts w:ascii="宋体" w:hAnsi="宋体" w:cs="宋体"/>
                <w:color w:val="auto"/>
                <w:sz w:val="24"/>
                <w:highlight w:val="none"/>
              </w:rPr>
            </w:pPr>
          </w:p>
        </w:tc>
        <w:tc>
          <w:tcPr>
            <w:tcW w:w="1065" w:type="dxa"/>
            <w:noWrap w:val="0"/>
          </w:tcPr>
          <w:p w14:paraId="0BD36406">
            <w:pPr>
              <w:tabs>
                <w:tab w:val="left" w:pos="9765"/>
              </w:tabs>
              <w:spacing w:line="360" w:lineRule="auto"/>
              <w:rPr>
                <w:rFonts w:ascii="宋体" w:hAnsi="宋体" w:cs="宋体"/>
                <w:color w:val="auto"/>
                <w:sz w:val="24"/>
                <w:highlight w:val="none"/>
              </w:rPr>
            </w:pPr>
          </w:p>
        </w:tc>
        <w:tc>
          <w:tcPr>
            <w:tcW w:w="1035" w:type="dxa"/>
            <w:noWrap w:val="0"/>
          </w:tcPr>
          <w:p w14:paraId="363D7306">
            <w:pPr>
              <w:tabs>
                <w:tab w:val="left" w:pos="9765"/>
              </w:tabs>
              <w:spacing w:line="360" w:lineRule="auto"/>
              <w:rPr>
                <w:rFonts w:ascii="宋体" w:hAnsi="宋体" w:cs="宋体"/>
                <w:color w:val="auto"/>
                <w:sz w:val="24"/>
                <w:highlight w:val="none"/>
              </w:rPr>
            </w:pPr>
          </w:p>
        </w:tc>
        <w:tc>
          <w:tcPr>
            <w:tcW w:w="1230" w:type="dxa"/>
            <w:noWrap w:val="0"/>
          </w:tcPr>
          <w:p w14:paraId="26CA6C2D">
            <w:pPr>
              <w:tabs>
                <w:tab w:val="left" w:pos="9765"/>
              </w:tabs>
              <w:spacing w:line="360" w:lineRule="auto"/>
              <w:rPr>
                <w:rFonts w:ascii="宋体" w:hAnsi="宋体" w:cs="宋体"/>
                <w:color w:val="auto"/>
                <w:sz w:val="24"/>
                <w:highlight w:val="none"/>
              </w:rPr>
            </w:pPr>
          </w:p>
        </w:tc>
      </w:tr>
      <w:tr w14:paraId="2007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0C0DED8C">
            <w:pPr>
              <w:tabs>
                <w:tab w:val="left" w:pos="9765"/>
              </w:tabs>
              <w:spacing w:line="360" w:lineRule="auto"/>
              <w:rPr>
                <w:rFonts w:ascii="宋体" w:hAnsi="宋体" w:cs="宋体"/>
                <w:color w:val="auto"/>
                <w:sz w:val="24"/>
                <w:highlight w:val="none"/>
              </w:rPr>
            </w:pPr>
          </w:p>
        </w:tc>
        <w:tc>
          <w:tcPr>
            <w:tcW w:w="795" w:type="dxa"/>
            <w:noWrap w:val="0"/>
          </w:tcPr>
          <w:p w14:paraId="2A1B6498">
            <w:pPr>
              <w:tabs>
                <w:tab w:val="left" w:pos="9765"/>
              </w:tabs>
              <w:spacing w:line="360" w:lineRule="auto"/>
              <w:rPr>
                <w:rFonts w:ascii="宋体" w:hAnsi="宋体" w:cs="宋体"/>
                <w:color w:val="auto"/>
                <w:sz w:val="24"/>
                <w:highlight w:val="none"/>
              </w:rPr>
            </w:pPr>
          </w:p>
        </w:tc>
        <w:tc>
          <w:tcPr>
            <w:tcW w:w="975" w:type="dxa"/>
            <w:noWrap w:val="0"/>
          </w:tcPr>
          <w:p w14:paraId="16BA1660">
            <w:pPr>
              <w:tabs>
                <w:tab w:val="left" w:pos="9765"/>
              </w:tabs>
              <w:spacing w:line="360" w:lineRule="auto"/>
              <w:rPr>
                <w:rFonts w:ascii="宋体" w:hAnsi="宋体" w:cs="宋体"/>
                <w:color w:val="auto"/>
                <w:sz w:val="24"/>
                <w:highlight w:val="none"/>
              </w:rPr>
            </w:pPr>
          </w:p>
        </w:tc>
        <w:tc>
          <w:tcPr>
            <w:tcW w:w="915" w:type="dxa"/>
            <w:noWrap w:val="0"/>
          </w:tcPr>
          <w:p w14:paraId="02257CCF">
            <w:pPr>
              <w:tabs>
                <w:tab w:val="left" w:pos="9765"/>
              </w:tabs>
              <w:spacing w:line="360" w:lineRule="auto"/>
              <w:rPr>
                <w:rFonts w:ascii="宋体" w:hAnsi="宋体" w:cs="宋体"/>
                <w:color w:val="auto"/>
                <w:sz w:val="24"/>
                <w:highlight w:val="none"/>
              </w:rPr>
            </w:pPr>
          </w:p>
        </w:tc>
        <w:tc>
          <w:tcPr>
            <w:tcW w:w="1205" w:type="dxa"/>
            <w:noWrap w:val="0"/>
          </w:tcPr>
          <w:p w14:paraId="4FDBDC89">
            <w:pPr>
              <w:tabs>
                <w:tab w:val="left" w:pos="9765"/>
              </w:tabs>
              <w:spacing w:line="360" w:lineRule="auto"/>
              <w:rPr>
                <w:rFonts w:ascii="宋体" w:hAnsi="宋体" w:cs="宋体"/>
                <w:color w:val="auto"/>
                <w:sz w:val="24"/>
                <w:highlight w:val="none"/>
              </w:rPr>
            </w:pPr>
          </w:p>
        </w:tc>
        <w:tc>
          <w:tcPr>
            <w:tcW w:w="730" w:type="dxa"/>
            <w:noWrap w:val="0"/>
          </w:tcPr>
          <w:p w14:paraId="01AF6A59">
            <w:pPr>
              <w:tabs>
                <w:tab w:val="left" w:pos="9765"/>
              </w:tabs>
              <w:spacing w:line="360" w:lineRule="auto"/>
              <w:rPr>
                <w:rFonts w:ascii="宋体" w:hAnsi="宋体" w:cs="宋体"/>
                <w:color w:val="auto"/>
                <w:sz w:val="24"/>
                <w:highlight w:val="none"/>
              </w:rPr>
            </w:pPr>
          </w:p>
        </w:tc>
        <w:tc>
          <w:tcPr>
            <w:tcW w:w="900" w:type="dxa"/>
            <w:noWrap w:val="0"/>
          </w:tcPr>
          <w:p w14:paraId="243F96E8">
            <w:pPr>
              <w:tabs>
                <w:tab w:val="left" w:pos="9765"/>
              </w:tabs>
              <w:spacing w:line="360" w:lineRule="auto"/>
              <w:rPr>
                <w:rFonts w:ascii="宋体" w:hAnsi="宋体" w:cs="宋体"/>
                <w:color w:val="auto"/>
                <w:sz w:val="24"/>
                <w:highlight w:val="none"/>
              </w:rPr>
            </w:pPr>
          </w:p>
        </w:tc>
        <w:tc>
          <w:tcPr>
            <w:tcW w:w="1065" w:type="dxa"/>
            <w:noWrap w:val="0"/>
          </w:tcPr>
          <w:p w14:paraId="266A5165">
            <w:pPr>
              <w:tabs>
                <w:tab w:val="left" w:pos="9765"/>
              </w:tabs>
              <w:spacing w:line="360" w:lineRule="auto"/>
              <w:rPr>
                <w:rFonts w:ascii="宋体" w:hAnsi="宋体" w:cs="宋体"/>
                <w:color w:val="auto"/>
                <w:sz w:val="24"/>
                <w:highlight w:val="none"/>
              </w:rPr>
            </w:pPr>
          </w:p>
        </w:tc>
        <w:tc>
          <w:tcPr>
            <w:tcW w:w="1035" w:type="dxa"/>
            <w:noWrap w:val="0"/>
          </w:tcPr>
          <w:p w14:paraId="6478A739">
            <w:pPr>
              <w:tabs>
                <w:tab w:val="left" w:pos="9765"/>
              </w:tabs>
              <w:spacing w:line="360" w:lineRule="auto"/>
              <w:rPr>
                <w:rFonts w:ascii="宋体" w:hAnsi="宋体" w:cs="宋体"/>
                <w:color w:val="auto"/>
                <w:sz w:val="24"/>
                <w:highlight w:val="none"/>
              </w:rPr>
            </w:pPr>
          </w:p>
        </w:tc>
        <w:tc>
          <w:tcPr>
            <w:tcW w:w="1230" w:type="dxa"/>
            <w:noWrap w:val="0"/>
          </w:tcPr>
          <w:p w14:paraId="469E0FC5">
            <w:pPr>
              <w:tabs>
                <w:tab w:val="left" w:pos="9765"/>
              </w:tabs>
              <w:spacing w:line="360" w:lineRule="auto"/>
              <w:rPr>
                <w:rFonts w:ascii="宋体" w:hAnsi="宋体" w:cs="宋体"/>
                <w:color w:val="auto"/>
                <w:sz w:val="24"/>
                <w:highlight w:val="none"/>
              </w:rPr>
            </w:pPr>
          </w:p>
        </w:tc>
      </w:tr>
      <w:tr w14:paraId="2A9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557D76A1">
            <w:pPr>
              <w:tabs>
                <w:tab w:val="left" w:pos="9765"/>
              </w:tabs>
              <w:spacing w:line="360" w:lineRule="auto"/>
              <w:rPr>
                <w:rFonts w:ascii="宋体" w:hAnsi="宋体" w:cs="宋体"/>
                <w:color w:val="auto"/>
                <w:sz w:val="24"/>
                <w:highlight w:val="none"/>
              </w:rPr>
            </w:pPr>
          </w:p>
        </w:tc>
        <w:tc>
          <w:tcPr>
            <w:tcW w:w="795" w:type="dxa"/>
            <w:noWrap w:val="0"/>
          </w:tcPr>
          <w:p w14:paraId="7FF3CEE3">
            <w:pPr>
              <w:tabs>
                <w:tab w:val="left" w:pos="9765"/>
              </w:tabs>
              <w:spacing w:line="360" w:lineRule="auto"/>
              <w:rPr>
                <w:rFonts w:ascii="宋体" w:hAnsi="宋体" w:cs="宋体"/>
                <w:color w:val="auto"/>
                <w:sz w:val="24"/>
                <w:highlight w:val="none"/>
              </w:rPr>
            </w:pPr>
          </w:p>
        </w:tc>
        <w:tc>
          <w:tcPr>
            <w:tcW w:w="975" w:type="dxa"/>
            <w:noWrap w:val="0"/>
          </w:tcPr>
          <w:p w14:paraId="25368EBB">
            <w:pPr>
              <w:tabs>
                <w:tab w:val="left" w:pos="9765"/>
              </w:tabs>
              <w:spacing w:line="360" w:lineRule="auto"/>
              <w:rPr>
                <w:rFonts w:ascii="宋体" w:hAnsi="宋体" w:cs="宋体"/>
                <w:color w:val="auto"/>
                <w:sz w:val="24"/>
                <w:highlight w:val="none"/>
              </w:rPr>
            </w:pPr>
          </w:p>
        </w:tc>
        <w:tc>
          <w:tcPr>
            <w:tcW w:w="915" w:type="dxa"/>
            <w:noWrap w:val="0"/>
          </w:tcPr>
          <w:p w14:paraId="4CEDCF2E">
            <w:pPr>
              <w:tabs>
                <w:tab w:val="left" w:pos="9765"/>
              </w:tabs>
              <w:spacing w:line="360" w:lineRule="auto"/>
              <w:rPr>
                <w:rFonts w:ascii="宋体" w:hAnsi="宋体" w:cs="宋体"/>
                <w:color w:val="auto"/>
                <w:sz w:val="24"/>
                <w:highlight w:val="none"/>
              </w:rPr>
            </w:pPr>
          </w:p>
        </w:tc>
        <w:tc>
          <w:tcPr>
            <w:tcW w:w="1205" w:type="dxa"/>
            <w:noWrap w:val="0"/>
          </w:tcPr>
          <w:p w14:paraId="20A841B7">
            <w:pPr>
              <w:tabs>
                <w:tab w:val="left" w:pos="9765"/>
              </w:tabs>
              <w:spacing w:line="360" w:lineRule="auto"/>
              <w:rPr>
                <w:rFonts w:ascii="宋体" w:hAnsi="宋体" w:cs="宋体"/>
                <w:color w:val="auto"/>
                <w:sz w:val="24"/>
                <w:highlight w:val="none"/>
              </w:rPr>
            </w:pPr>
          </w:p>
        </w:tc>
        <w:tc>
          <w:tcPr>
            <w:tcW w:w="730" w:type="dxa"/>
            <w:noWrap w:val="0"/>
          </w:tcPr>
          <w:p w14:paraId="60370CD0">
            <w:pPr>
              <w:tabs>
                <w:tab w:val="left" w:pos="9765"/>
              </w:tabs>
              <w:spacing w:line="360" w:lineRule="auto"/>
              <w:rPr>
                <w:rFonts w:ascii="宋体" w:hAnsi="宋体" w:cs="宋体"/>
                <w:color w:val="auto"/>
                <w:sz w:val="24"/>
                <w:highlight w:val="none"/>
              </w:rPr>
            </w:pPr>
          </w:p>
        </w:tc>
        <w:tc>
          <w:tcPr>
            <w:tcW w:w="900" w:type="dxa"/>
            <w:noWrap w:val="0"/>
          </w:tcPr>
          <w:p w14:paraId="45867B88">
            <w:pPr>
              <w:tabs>
                <w:tab w:val="left" w:pos="9765"/>
              </w:tabs>
              <w:spacing w:line="360" w:lineRule="auto"/>
              <w:rPr>
                <w:rFonts w:ascii="宋体" w:hAnsi="宋体" w:cs="宋体"/>
                <w:color w:val="auto"/>
                <w:sz w:val="24"/>
                <w:highlight w:val="none"/>
              </w:rPr>
            </w:pPr>
          </w:p>
        </w:tc>
        <w:tc>
          <w:tcPr>
            <w:tcW w:w="1065" w:type="dxa"/>
            <w:noWrap w:val="0"/>
          </w:tcPr>
          <w:p w14:paraId="0835BF08">
            <w:pPr>
              <w:tabs>
                <w:tab w:val="left" w:pos="9765"/>
              </w:tabs>
              <w:spacing w:line="360" w:lineRule="auto"/>
              <w:rPr>
                <w:rFonts w:ascii="宋体" w:hAnsi="宋体" w:cs="宋体"/>
                <w:color w:val="auto"/>
                <w:sz w:val="24"/>
                <w:highlight w:val="none"/>
              </w:rPr>
            </w:pPr>
          </w:p>
        </w:tc>
        <w:tc>
          <w:tcPr>
            <w:tcW w:w="1035" w:type="dxa"/>
            <w:noWrap w:val="0"/>
          </w:tcPr>
          <w:p w14:paraId="303ABB02">
            <w:pPr>
              <w:tabs>
                <w:tab w:val="left" w:pos="9765"/>
              </w:tabs>
              <w:spacing w:line="360" w:lineRule="auto"/>
              <w:rPr>
                <w:rFonts w:ascii="宋体" w:hAnsi="宋体" w:cs="宋体"/>
                <w:color w:val="auto"/>
                <w:sz w:val="24"/>
                <w:highlight w:val="none"/>
              </w:rPr>
            </w:pPr>
          </w:p>
        </w:tc>
        <w:tc>
          <w:tcPr>
            <w:tcW w:w="1230" w:type="dxa"/>
            <w:noWrap w:val="0"/>
          </w:tcPr>
          <w:p w14:paraId="1EF91C6E">
            <w:pPr>
              <w:tabs>
                <w:tab w:val="left" w:pos="9765"/>
              </w:tabs>
              <w:spacing w:line="360" w:lineRule="auto"/>
              <w:rPr>
                <w:rFonts w:ascii="宋体" w:hAnsi="宋体" w:cs="宋体"/>
                <w:color w:val="auto"/>
                <w:sz w:val="24"/>
                <w:highlight w:val="none"/>
              </w:rPr>
            </w:pPr>
          </w:p>
        </w:tc>
      </w:tr>
      <w:tr w14:paraId="1496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tcPr>
          <w:p w14:paraId="6EDC0489">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95" w:type="dxa"/>
            <w:noWrap w:val="0"/>
          </w:tcPr>
          <w:p w14:paraId="3544A214">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75" w:type="dxa"/>
            <w:noWrap w:val="0"/>
          </w:tcPr>
          <w:p w14:paraId="13CA0B31">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15" w:type="dxa"/>
            <w:noWrap w:val="0"/>
          </w:tcPr>
          <w:p w14:paraId="031F4E0A">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05" w:type="dxa"/>
            <w:noWrap w:val="0"/>
          </w:tcPr>
          <w:p w14:paraId="73E29EB6">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730" w:type="dxa"/>
            <w:noWrap w:val="0"/>
          </w:tcPr>
          <w:p w14:paraId="732DF3AE">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900" w:type="dxa"/>
            <w:noWrap w:val="0"/>
          </w:tcPr>
          <w:p w14:paraId="23A796F3">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65" w:type="dxa"/>
            <w:noWrap w:val="0"/>
          </w:tcPr>
          <w:p w14:paraId="61BB25F0">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035" w:type="dxa"/>
            <w:noWrap w:val="0"/>
          </w:tcPr>
          <w:p w14:paraId="1F0C1C9C">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c>
          <w:tcPr>
            <w:tcW w:w="1230" w:type="dxa"/>
            <w:noWrap w:val="0"/>
          </w:tcPr>
          <w:p w14:paraId="5FB77A67">
            <w:pPr>
              <w:tabs>
                <w:tab w:val="left" w:pos="9765"/>
              </w:tabs>
              <w:spacing w:line="360" w:lineRule="auto"/>
              <w:rPr>
                <w:rFonts w:ascii="宋体" w:hAnsi="宋体" w:cs="宋体"/>
                <w:color w:val="auto"/>
                <w:sz w:val="24"/>
                <w:highlight w:val="none"/>
              </w:rPr>
            </w:pPr>
            <w:r>
              <w:rPr>
                <w:rFonts w:hint="eastAsia" w:ascii="宋体" w:hAnsi="宋体" w:cs="宋体"/>
                <w:color w:val="auto"/>
                <w:sz w:val="24"/>
                <w:highlight w:val="none"/>
              </w:rPr>
              <w:t> </w:t>
            </w:r>
          </w:p>
        </w:tc>
      </w:tr>
    </w:tbl>
    <w:p w14:paraId="116F1548">
      <w:pPr>
        <w:tabs>
          <w:tab w:val="left" w:pos="9765"/>
        </w:tabs>
        <w:rPr>
          <w:rFonts w:ascii="宋体" w:hAnsi="宋体" w:cs="宋体"/>
          <w:b/>
          <w:color w:val="auto"/>
          <w:sz w:val="24"/>
          <w:highlight w:val="none"/>
          <w:lang w:val="zh-CN"/>
        </w:rPr>
      </w:pPr>
    </w:p>
    <w:p w14:paraId="333A099E">
      <w:pPr>
        <w:spacing w:line="360" w:lineRule="auto"/>
        <w:rPr>
          <w:rFonts w:ascii="宋体" w:hAnsi="宋体"/>
          <w:color w:val="auto"/>
          <w:sz w:val="24"/>
          <w:highlight w:val="none"/>
        </w:rPr>
      </w:pPr>
    </w:p>
    <w:p w14:paraId="68DFEC72">
      <w:pPr>
        <w:spacing w:before="25" w:after="25" w:line="360" w:lineRule="auto"/>
        <w:rPr>
          <w:color w:val="auto"/>
          <w:sz w:val="24"/>
          <w:highlight w:val="none"/>
          <w:lang w:val="zh-CN"/>
        </w:rPr>
      </w:pPr>
      <w:r>
        <w:rPr>
          <w:color w:val="auto"/>
          <w:sz w:val="24"/>
          <w:highlight w:val="none"/>
        </w:rPr>
        <w:t>供应商名称（加盖公章）</w:t>
      </w:r>
      <w:r>
        <w:rPr>
          <w:color w:val="auto"/>
          <w:sz w:val="24"/>
          <w:highlight w:val="none"/>
          <w:lang w:val="zh-CN"/>
        </w:rPr>
        <w:t>：    ____________</w:t>
      </w:r>
    </w:p>
    <w:p w14:paraId="5F837286">
      <w:pPr>
        <w:spacing w:before="25" w:after="25" w:line="360" w:lineRule="auto"/>
        <w:rPr>
          <w:color w:val="auto"/>
          <w:sz w:val="24"/>
          <w:highlight w:val="none"/>
          <w:lang w:val="zh-CN"/>
        </w:rPr>
      </w:pPr>
      <w:r>
        <w:rPr>
          <w:color w:val="auto"/>
          <w:sz w:val="24"/>
          <w:szCs w:val="20"/>
          <w:highlight w:val="none"/>
        </w:rPr>
        <w:t xml:space="preserve">日期：_____年______月______日   </w:t>
      </w:r>
    </w:p>
    <w:p w14:paraId="69D2E884">
      <w:pPr>
        <w:spacing w:line="360" w:lineRule="auto"/>
        <w:rPr>
          <w:color w:val="auto"/>
          <w:sz w:val="24"/>
          <w:szCs w:val="20"/>
          <w:highlight w:val="none"/>
        </w:rPr>
      </w:pPr>
      <w:r>
        <w:rPr>
          <w:color w:val="auto"/>
          <w:sz w:val="22"/>
          <w:highlight w:val="none"/>
        </w:rPr>
        <w:br w:type="page" w:clear="all"/>
      </w:r>
    </w:p>
    <w:p w14:paraId="5DAC4BBE">
      <w:pPr>
        <w:spacing w:line="360" w:lineRule="auto"/>
        <w:outlineLvl w:val="2"/>
        <w:rPr>
          <w:color w:val="auto"/>
          <w:sz w:val="24"/>
          <w:highlight w:val="none"/>
        </w:rPr>
      </w:pPr>
      <w:r>
        <w:rPr>
          <w:rFonts w:hint="eastAsia"/>
          <w:color w:val="auto"/>
          <w:sz w:val="24"/>
          <w:szCs w:val="20"/>
          <w:highlight w:val="none"/>
          <w:lang w:val="en-US" w:eastAsia="zh-CN"/>
        </w:rPr>
        <w:t xml:space="preserve">12 </w:t>
      </w:r>
      <w:r>
        <w:rPr>
          <w:rFonts w:hint="eastAsia"/>
          <w:color w:val="auto"/>
          <w:sz w:val="24"/>
          <w:szCs w:val="20"/>
          <w:highlight w:val="none"/>
        </w:rPr>
        <w:t>项目</w:t>
      </w:r>
      <w:r>
        <w:rPr>
          <w:rFonts w:hint="eastAsia"/>
          <w:color w:val="auto"/>
          <w:sz w:val="24"/>
          <w:szCs w:val="20"/>
          <w:highlight w:val="none"/>
          <w:lang w:val="en-US" w:eastAsia="zh-CN"/>
        </w:rPr>
        <w:t>技术</w:t>
      </w:r>
      <w:r>
        <w:rPr>
          <w:rFonts w:hint="eastAsia"/>
          <w:color w:val="auto"/>
          <w:sz w:val="24"/>
          <w:szCs w:val="20"/>
          <w:highlight w:val="none"/>
        </w:rPr>
        <w:t>方案等，包括但不限于如下主题：</w:t>
      </w:r>
    </w:p>
    <w:p w14:paraId="445C45AB">
      <w:pPr>
        <w:rPr>
          <w:b/>
          <w:color w:val="auto"/>
          <w:sz w:val="36"/>
          <w:szCs w:val="36"/>
          <w:highlight w:val="none"/>
        </w:rPr>
      </w:pPr>
    </w:p>
    <w:tbl>
      <w:tblPr>
        <w:tblStyle w:val="38"/>
        <w:tblW w:w="4119" w:type="pct"/>
        <w:tblInd w:w="6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0"/>
        <w:gridCol w:w="7089"/>
      </w:tblGrid>
      <w:tr w14:paraId="727A0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noWrap w:val="0"/>
            <w:vAlign w:val="center"/>
          </w:tcPr>
          <w:p w14:paraId="477E2D33">
            <w:pPr>
              <w:ind w:firstLine="28"/>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序号</w:t>
            </w:r>
          </w:p>
        </w:tc>
        <w:tc>
          <w:tcPr>
            <w:tcW w:w="7088" w:type="dxa"/>
            <w:shd w:val="clear" w:color="auto" w:fill="auto"/>
            <w:noWrap w:val="0"/>
            <w:vAlign w:val="center"/>
          </w:tcPr>
          <w:p w14:paraId="784A09AD">
            <w:pPr>
              <w:ind w:firstLine="28"/>
              <w:jc w:val="center"/>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highlight w:val="none"/>
              </w:rPr>
              <w:t>方案</w:t>
            </w:r>
            <w:r>
              <w:rPr>
                <w:rFonts w:hint="eastAsia" w:ascii="宋体" w:hAnsi="宋体" w:eastAsia="宋体" w:cs="宋体"/>
                <w:b/>
                <w:bCs/>
                <w:color w:val="auto"/>
                <w:sz w:val="24"/>
                <w:highlight w:val="none"/>
                <w:lang w:val="en-US" w:eastAsia="zh-CN"/>
              </w:rPr>
              <w:t>名称</w:t>
            </w:r>
          </w:p>
        </w:tc>
      </w:tr>
      <w:tr w14:paraId="6F98D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noWrap w:val="0"/>
            <w:vAlign w:val="center"/>
          </w:tcPr>
          <w:p w14:paraId="3DB4F91B">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highlight w:val="none"/>
                <w:lang w:val="en-US" w:eastAsia="zh-CN"/>
              </w:rPr>
              <w:t>1</w:t>
            </w:r>
          </w:p>
        </w:tc>
        <w:tc>
          <w:tcPr>
            <w:tcW w:w="7088" w:type="dxa"/>
            <w:shd w:val="clear" w:color="auto" w:fill="auto"/>
            <w:noWrap w:val="0"/>
            <w:vAlign w:val="center"/>
          </w:tcPr>
          <w:p w14:paraId="58BE12AB">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总体思路</w:t>
            </w:r>
          </w:p>
        </w:tc>
      </w:tr>
      <w:tr w14:paraId="6C597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noWrap w:val="0"/>
            <w:vAlign w:val="center"/>
          </w:tcPr>
          <w:p w14:paraId="53FFF87F">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p>
        </w:tc>
        <w:tc>
          <w:tcPr>
            <w:tcW w:w="7088" w:type="dxa"/>
            <w:shd w:val="clear" w:color="auto" w:fill="auto"/>
            <w:noWrap w:val="0"/>
            <w:vAlign w:val="center"/>
          </w:tcPr>
          <w:p w14:paraId="7BEC8F6E">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针对本项目现状及需求分析</w:t>
            </w:r>
          </w:p>
        </w:tc>
      </w:tr>
      <w:tr w14:paraId="27669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trPr>
        <w:tc>
          <w:tcPr>
            <w:tcW w:w="1031" w:type="dxa"/>
            <w:shd w:val="clear" w:color="auto" w:fill="auto"/>
            <w:noWrap w:val="0"/>
            <w:vAlign w:val="center"/>
          </w:tcPr>
          <w:p w14:paraId="648252C1">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w:t>
            </w:r>
          </w:p>
        </w:tc>
        <w:tc>
          <w:tcPr>
            <w:tcW w:w="7088" w:type="dxa"/>
            <w:shd w:val="clear" w:color="auto" w:fill="auto"/>
            <w:noWrap w:val="0"/>
            <w:vAlign w:val="center"/>
          </w:tcPr>
          <w:p w14:paraId="47F0BA6E">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培训方案</w:t>
            </w:r>
          </w:p>
        </w:tc>
      </w:tr>
      <w:tr w14:paraId="2E2A3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trPr>
        <w:tc>
          <w:tcPr>
            <w:tcW w:w="1031" w:type="dxa"/>
            <w:shd w:val="clear" w:color="auto" w:fill="auto"/>
            <w:noWrap w:val="0"/>
            <w:vAlign w:val="center"/>
          </w:tcPr>
          <w:p w14:paraId="74C8F39B">
            <w:pPr>
              <w:ind w:firstLine="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w:t>
            </w:r>
          </w:p>
        </w:tc>
        <w:tc>
          <w:tcPr>
            <w:tcW w:w="7088" w:type="dxa"/>
            <w:shd w:val="clear" w:color="auto" w:fill="auto"/>
            <w:noWrap w:val="0"/>
            <w:vAlign w:val="center"/>
          </w:tcPr>
          <w:p w14:paraId="1FEAFB30">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针对辖区内0-6岁儿童感统训练特色及难点分析</w:t>
            </w:r>
          </w:p>
        </w:tc>
      </w:tr>
      <w:tr w14:paraId="2A6C1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noWrap w:val="0"/>
            <w:vAlign w:val="center"/>
          </w:tcPr>
          <w:p w14:paraId="4D19B1A4">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w:t>
            </w:r>
          </w:p>
        </w:tc>
        <w:tc>
          <w:tcPr>
            <w:tcW w:w="7088" w:type="dxa"/>
            <w:shd w:val="clear" w:color="auto" w:fill="auto"/>
            <w:noWrap w:val="0"/>
            <w:vAlign w:val="center"/>
          </w:tcPr>
          <w:p w14:paraId="7A215E08">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服务质量</w:t>
            </w:r>
            <w:r>
              <w:rPr>
                <w:rFonts w:hint="eastAsia" w:ascii="宋体" w:hAnsi="宋体" w:eastAsia="宋体" w:cs="宋体"/>
                <w:color w:val="auto"/>
                <w:sz w:val="24"/>
                <w:szCs w:val="24"/>
                <w:highlight w:val="none"/>
                <w:lang w:val="en-US" w:eastAsia="zh-CN"/>
              </w:rPr>
              <w:t>保证措施</w:t>
            </w:r>
          </w:p>
        </w:tc>
      </w:tr>
      <w:tr w14:paraId="2D1EC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31" w:type="dxa"/>
            <w:shd w:val="clear" w:color="auto" w:fill="auto"/>
            <w:noWrap w:val="0"/>
            <w:vAlign w:val="center"/>
          </w:tcPr>
          <w:p w14:paraId="2D562F13">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w:t>
            </w:r>
          </w:p>
        </w:tc>
        <w:tc>
          <w:tcPr>
            <w:tcW w:w="7088" w:type="dxa"/>
            <w:shd w:val="clear" w:color="auto" w:fill="auto"/>
            <w:noWrap w:val="0"/>
            <w:vAlign w:val="center"/>
          </w:tcPr>
          <w:p w14:paraId="58B8058A">
            <w:pPr>
              <w:ind w:firstLine="28"/>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供应商提供和采购人合作医疗服务相关方便</w:t>
            </w:r>
            <w:r>
              <w:rPr>
                <w:rFonts w:hint="eastAsia" w:ascii="宋体" w:hAnsi="宋体" w:cs="宋体"/>
                <w:color w:val="auto"/>
                <w:sz w:val="24"/>
                <w:szCs w:val="24"/>
                <w:highlight w:val="none"/>
                <w:lang w:eastAsia="zh-CN"/>
              </w:rPr>
              <w:t>增值服务或承诺</w:t>
            </w:r>
          </w:p>
        </w:tc>
      </w:tr>
    </w:tbl>
    <w:p w14:paraId="06E5810F">
      <w:pPr>
        <w:widowControl/>
        <w:jc w:val="left"/>
        <w:rPr>
          <w:color w:val="auto"/>
          <w:sz w:val="24"/>
          <w:szCs w:val="20"/>
          <w:highlight w:val="none"/>
        </w:rPr>
      </w:pPr>
    </w:p>
    <w:p w14:paraId="0E4D0956">
      <w:pPr>
        <w:pStyle w:val="37"/>
        <w:rPr>
          <w:color w:val="auto"/>
          <w:sz w:val="24"/>
          <w:szCs w:val="20"/>
          <w:highlight w:val="none"/>
        </w:rPr>
      </w:pPr>
    </w:p>
    <w:p w14:paraId="2142FB33">
      <w:pPr>
        <w:rPr>
          <w:color w:val="auto"/>
          <w:sz w:val="24"/>
          <w:szCs w:val="20"/>
          <w:highlight w:val="none"/>
        </w:rPr>
      </w:pPr>
    </w:p>
    <w:p w14:paraId="72EE7F48">
      <w:pPr>
        <w:pStyle w:val="37"/>
        <w:ind w:left="0" w:firstLine="0"/>
        <w:rPr>
          <w:color w:val="auto"/>
          <w:highlight w:val="none"/>
        </w:rPr>
      </w:pPr>
    </w:p>
    <w:p w14:paraId="793ADAF4">
      <w:pPr>
        <w:rPr>
          <w:color w:val="auto"/>
          <w:highlight w:val="none"/>
        </w:rPr>
      </w:pPr>
    </w:p>
    <w:p w14:paraId="03609FED">
      <w:pPr>
        <w:pStyle w:val="16"/>
        <w:rPr>
          <w:color w:val="auto"/>
          <w:highlight w:val="none"/>
        </w:rPr>
      </w:pPr>
    </w:p>
    <w:p w14:paraId="7E5D4046">
      <w:pPr>
        <w:rPr>
          <w:color w:val="auto"/>
          <w:highlight w:val="none"/>
        </w:rPr>
      </w:pPr>
    </w:p>
    <w:p w14:paraId="624DEA0B">
      <w:pPr>
        <w:pStyle w:val="16"/>
        <w:rPr>
          <w:color w:val="auto"/>
          <w:highlight w:val="none"/>
        </w:rPr>
      </w:pPr>
    </w:p>
    <w:p w14:paraId="3AEE7EA4">
      <w:pPr>
        <w:rPr>
          <w:color w:val="auto"/>
          <w:highlight w:val="none"/>
        </w:rPr>
      </w:pPr>
    </w:p>
    <w:p w14:paraId="7B919AAF">
      <w:pPr>
        <w:pStyle w:val="16"/>
        <w:rPr>
          <w:color w:val="auto"/>
          <w:highlight w:val="none"/>
        </w:rPr>
      </w:pPr>
    </w:p>
    <w:p w14:paraId="6A9BC138">
      <w:pPr>
        <w:rPr>
          <w:color w:val="auto"/>
          <w:highlight w:val="none"/>
        </w:rPr>
      </w:pPr>
    </w:p>
    <w:p w14:paraId="6C140571">
      <w:pPr>
        <w:pStyle w:val="16"/>
        <w:rPr>
          <w:color w:val="auto"/>
          <w:highlight w:val="none"/>
        </w:rPr>
      </w:pPr>
    </w:p>
    <w:p w14:paraId="50CC0D99">
      <w:pPr>
        <w:rPr>
          <w:color w:val="auto"/>
          <w:highlight w:val="none"/>
        </w:rPr>
      </w:pPr>
    </w:p>
    <w:p w14:paraId="2942A4F2">
      <w:pPr>
        <w:pStyle w:val="16"/>
        <w:rPr>
          <w:color w:val="auto"/>
          <w:highlight w:val="none"/>
        </w:rPr>
      </w:pPr>
    </w:p>
    <w:p w14:paraId="7A6447D5">
      <w:pPr>
        <w:rPr>
          <w:color w:val="auto"/>
          <w:highlight w:val="none"/>
        </w:rPr>
      </w:pPr>
    </w:p>
    <w:p w14:paraId="71AF7D31">
      <w:pPr>
        <w:pStyle w:val="16"/>
        <w:rPr>
          <w:color w:val="auto"/>
          <w:highlight w:val="none"/>
        </w:rPr>
      </w:pPr>
    </w:p>
    <w:p w14:paraId="72DC7138">
      <w:pPr>
        <w:rPr>
          <w:color w:val="auto"/>
          <w:highlight w:val="none"/>
        </w:rPr>
      </w:pPr>
    </w:p>
    <w:p w14:paraId="7D64C9C5">
      <w:pPr>
        <w:pStyle w:val="16"/>
        <w:rPr>
          <w:color w:val="auto"/>
          <w:highlight w:val="none"/>
        </w:rPr>
      </w:pPr>
    </w:p>
    <w:p w14:paraId="528D3C75">
      <w:pPr>
        <w:rPr>
          <w:color w:val="auto"/>
          <w:highlight w:val="none"/>
        </w:rPr>
      </w:pPr>
    </w:p>
    <w:p w14:paraId="27254F01">
      <w:pPr>
        <w:pStyle w:val="16"/>
        <w:rPr>
          <w:color w:val="auto"/>
          <w:highlight w:val="none"/>
        </w:rPr>
      </w:pPr>
    </w:p>
    <w:p w14:paraId="449D079D">
      <w:pPr>
        <w:rPr>
          <w:color w:val="auto"/>
          <w:highlight w:val="none"/>
        </w:rPr>
      </w:pPr>
    </w:p>
    <w:p w14:paraId="7E367914">
      <w:pPr>
        <w:pStyle w:val="16"/>
        <w:rPr>
          <w:color w:val="auto"/>
          <w:highlight w:val="none"/>
        </w:rPr>
      </w:pPr>
    </w:p>
    <w:p w14:paraId="5313B886">
      <w:pPr>
        <w:rPr>
          <w:color w:val="auto"/>
          <w:highlight w:val="none"/>
        </w:rPr>
      </w:pPr>
    </w:p>
    <w:p w14:paraId="6F09B6A2">
      <w:pPr>
        <w:pStyle w:val="16"/>
        <w:rPr>
          <w:color w:val="auto"/>
          <w:highlight w:val="none"/>
        </w:rPr>
      </w:pPr>
    </w:p>
    <w:p w14:paraId="3A97A4A4">
      <w:pPr>
        <w:rPr>
          <w:color w:val="auto"/>
          <w:highlight w:val="none"/>
        </w:rPr>
      </w:pPr>
    </w:p>
    <w:p w14:paraId="4896899F">
      <w:pPr>
        <w:pStyle w:val="16"/>
        <w:rPr>
          <w:color w:val="auto"/>
          <w:highlight w:val="none"/>
        </w:rPr>
      </w:pPr>
    </w:p>
    <w:p w14:paraId="04768894">
      <w:pPr>
        <w:rPr>
          <w:color w:val="auto"/>
          <w:highlight w:val="none"/>
        </w:rPr>
      </w:pPr>
    </w:p>
    <w:p w14:paraId="141805AE">
      <w:pPr>
        <w:pStyle w:val="16"/>
        <w:rPr>
          <w:color w:val="auto"/>
          <w:highlight w:val="none"/>
        </w:rPr>
      </w:pPr>
    </w:p>
    <w:p w14:paraId="3B10FA53">
      <w:pPr>
        <w:rPr>
          <w:color w:val="auto"/>
          <w:highlight w:val="none"/>
        </w:rPr>
      </w:pPr>
    </w:p>
    <w:p w14:paraId="6B888653">
      <w:pPr>
        <w:pStyle w:val="16"/>
        <w:rPr>
          <w:color w:val="auto"/>
          <w:highlight w:val="none"/>
        </w:rPr>
      </w:pPr>
    </w:p>
    <w:p w14:paraId="204417D4">
      <w:pPr>
        <w:rPr>
          <w:color w:val="auto"/>
          <w:highlight w:val="none"/>
        </w:rPr>
      </w:pPr>
    </w:p>
    <w:p w14:paraId="43DEBEFB">
      <w:pPr>
        <w:spacing w:before="25" w:after="25" w:line="360" w:lineRule="auto"/>
        <w:rPr>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lang w:val="en-US" w:eastAsia="zh-CN"/>
        </w:rPr>
        <w:t>3</w:t>
      </w:r>
      <w:r>
        <w:rPr>
          <w:rFonts w:hint="eastAsia"/>
          <w:color w:val="auto"/>
          <w:sz w:val="24"/>
          <w:szCs w:val="20"/>
          <w:highlight w:val="none"/>
        </w:rPr>
        <w:t xml:space="preserve">  </w:t>
      </w:r>
      <w:r>
        <w:rPr>
          <w:rFonts w:hint="eastAsia"/>
          <w:color w:val="auto"/>
          <w:sz w:val="24"/>
          <w:szCs w:val="20"/>
          <w:highlight w:val="none"/>
          <w:lang w:val="en-US" w:eastAsia="zh-CN"/>
        </w:rPr>
        <w:t>采购</w:t>
      </w:r>
      <w:r>
        <w:rPr>
          <w:color w:val="auto"/>
          <w:sz w:val="24"/>
          <w:szCs w:val="20"/>
          <w:highlight w:val="none"/>
        </w:rPr>
        <w:t>文件要求提供或</w:t>
      </w:r>
      <w:r>
        <w:rPr>
          <w:rFonts w:hint="eastAsia"/>
          <w:color w:val="auto"/>
          <w:sz w:val="24"/>
          <w:szCs w:val="20"/>
          <w:highlight w:val="none"/>
          <w:lang w:eastAsia="zh-CN"/>
        </w:rPr>
        <w:t>供应商</w:t>
      </w:r>
      <w:r>
        <w:rPr>
          <w:color w:val="auto"/>
          <w:sz w:val="24"/>
          <w:szCs w:val="20"/>
          <w:highlight w:val="none"/>
        </w:rPr>
        <w:t>认为应附的其他材料</w:t>
      </w:r>
    </w:p>
    <w:p w14:paraId="1956974F">
      <w:pPr>
        <w:pStyle w:val="16"/>
        <w:rPr>
          <w:color w:val="auto"/>
        </w:rPr>
      </w:pPr>
    </w:p>
    <w:sectPr>
      <w:headerReference r:id="rId11" w:type="first"/>
      <w:headerReference r:id="rId10" w:type="even"/>
      <w:footerReference r:id="rId12" w:type="even"/>
      <w:pgSz w:w="11907" w:h="16840"/>
      <w:pgMar w:top="1418" w:right="1134" w:bottom="1418" w:left="1134" w:header="851" w:footer="851"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ˎ̥">
    <w:altName w:val="DejaVu Math TeX Gyre"/>
    <w:panose1 w:val="020B0503020202020204"/>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00006FF" w:usb1="4000205B" w:usb2="00000010" w:usb3="00000000" w:csb0="2000019F" w:csb1="00000000"/>
  </w:font>
  <w:font w:name="Helvetica">
    <w:altName w:val="Arial"/>
    <w:panose1 w:val="020B0604020202020204"/>
    <w:charset w:val="00"/>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2020400000000000000"/>
    <w:charset w:val="86"/>
    <w:family w:val="auto"/>
    <w:pitch w:val="default"/>
    <w:sig w:usb0="00000000" w:usb1="00000000" w:usb2="00000016" w:usb3="00000000" w:csb0="00060007" w:csb1="00000000"/>
  </w:font>
  <w:font w:name="CESI黑体-GB2312">
    <w:altName w:val="黑体"/>
    <w:panose1 w:val="020B0503020202020204"/>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862DE">
    <w:pPr>
      <w:pStyle w:val="286"/>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024C">
    <w:pPr>
      <w:pStyle w:val="286"/>
      <w:framePr w:wrap="around" w:vAnchor="text" w:hAnchor="margin" w:xAlign="center" w:y="1"/>
      <w:rPr>
        <w:rStyle w:val="312"/>
      </w:rPr>
    </w:pPr>
    <w:r>
      <w:fldChar w:fldCharType="begin"/>
    </w:r>
    <w:r>
      <w:rPr>
        <w:rStyle w:val="312"/>
      </w:rPr>
      <w:instrText xml:space="preserve">PAGE  </w:instrText>
    </w:r>
    <w:r>
      <w:fldChar w:fldCharType="end"/>
    </w:r>
  </w:p>
  <w:p w14:paraId="0A9596A4">
    <w:pPr>
      <w:pStyle w:val="28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39E1">
    <w:pPr>
      <w:pStyle w:val="28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270FA">
    <w:pPr>
      <w:pStyle w:val="286"/>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E1933">
    <w:pPr>
      <w:pStyle w:val="286"/>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66F0D">
    <w:pPr>
      <w:pStyle w:val="286"/>
      <w:framePr w:wrap="around" w:vAnchor="text" w:hAnchor="margin" w:xAlign="right" w:y="1"/>
      <w:rPr>
        <w:rStyle w:val="312"/>
      </w:rPr>
    </w:pPr>
    <w:r>
      <w:fldChar w:fldCharType="begin"/>
    </w:r>
    <w:r>
      <w:rPr>
        <w:rStyle w:val="312"/>
      </w:rPr>
      <w:instrText xml:space="preserve">PAGE  </w:instrText>
    </w:r>
    <w:r>
      <w:fldChar w:fldCharType="end"/>
    </w:r>
  </w:p>
  <w:p w14:paraId="21A3F14B">
    <w:pPr>
      <w:pStyle w:val="286"/>
      <w:ind w:right="360"/>
    </w:pPr>
  </w:p>
  <w:p w14:paraId="3F33D3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0B0EA">
    <w:pPr>
      <w:pStyle w:val="289"/>
      <w:jc w:val="right"/>
    </w:pPr>
    <w:r>
      <w:rPr>
        <w:rFonts w:hint="eastAsia"/>
      </w:rPr>
      <w:t>常州市政府采购项目竞争性磋商文件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833BD">
    <w:pPr>
      <w:pStyle w:val="289"/>
      <w:pBdr>
        <w:bottom w:val="single" w:color="000000" w:sz="4" w:space="1"/>
      </w:pBdr>
      <w:jc w:val="right"/>
    </w:pPr>
    <w:r>
      <w:rPr>
        <w:rFonts w:hint="eastAsia"/>
      </w:rPr>
      <w:t>常州市政府采购项目竞争性磋商文件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842D6">
    <w:pPr>
      <w:pStyle w:val="289"/>
    </w:pPr>
  </w:p>
  <w:p w14:paraId="6D00D44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29244">
    <w:pPr>
      <w:pStyle w:val="28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31" w:hanging="900"/>
      </w:pPr>
      <w:rPr>
        <w:rFonts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B5E306ED"/>
    <w:multiLevelType w:val="multilevel"/>
    <w:tmpl w:val="B5E306ED"/>
    <w:lvl w:ilvl="0" w:tentative="0">
      <w:start w:val="1"/>
      <w:numFmt w:val="decimal"/>
      <w:lvlText w:val="%1．"/>
      <w:lvlJc w:val="left"/>
      <w:pPr>
        <w:tabs>
          <w:tab w:val="left" w:pos="768"/>
        </w:tabs>
        <w:ind w:left="768" w:hanging="360"/>
      </w:pPr>
      <w:rPr>
        <w:rFonts w:hint="eastAsia"/>
      </w:rPr>
    </w:lvl>
    <w:lvl w:ilvl="1" w:tentative="0">
      <w:start w:val="1"/>
      <w:numFmt w:val="decimal"/>
      <w:pStyle w:val="39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2">
    <w:nsid w:val="BF205925"/>
    <w:multiLevelType w:val="multilevel"/>
    <w:tmpl w:val="BF205925"/>
    <w:lvl w:ilvl="0" w:tentative="0">
      <w:start w:val="1"/>
      <w:numFmt w:val="decimal"/>
      <w:pStyle w:val="389"/>
      <w:lvlText w:val="%1"/>
      <w:lvlJc w:val="left"/>
      <w:pPr>
        <w:ind w:left="680" w:hanging="680"/>
      </w:pPr>
      <w:rPr>
        <w:rFonts w:hint="eastAsia" w:ascii="宋体" w:hAnsi="宋体" w:eastAsia="宋体"/>
      </w:rPr>
    </w:lvl>
    <w:lvl w:ilvl="1" w:tentative="0">
      <w:start w:val="1"/>
      <w:numFmt w:val="decimal"/>
      <w:pStyle w:val="488"/>
      <w:lvlText w:val="%1.%2"/>
      <w:lvlJc w:val="left"/>
      <w:pPr>
        <w:ind w:left="851" w:hanging="851"/>
      </w:pPr>
      <w:rPr>
        <w:rFonts w:hint="eastAsia" w:ascii="宋体" w:hAnsi="宋体" w:eastAsia="宋体"/>
        <w:color w:val="000000"/>
      </w:rPr>
    </w:lvl>
    <w:lvl w:ilvl="2" w:tentative="0">
      <w:start w:val="1"/>
      <w:numFmt w:val="decimal"/>
      <w:pStyle w:val="47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3">
    <w:nsid w:val="CF092B84"/>
    <w:multiLevelType w:val="multilevel"/>
    <w:tmpl w:val="CF092B84"/>
    <w:lvl w:ilvl="0" w:tentative="0">
      <w:start w:val="1"/>
      <w:numFmt w:val="decimal"/>
      <w:pStyle w:val="37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53208E"/>
    <w:multiLevelType w:val="multilevel"/>
    <w:tmpl w:val="0053208E"/>
    <w:lvl w:ilvl="0" w:tentative="0">
      <w:start w:val="1"/>
      <w:numFmt w:val="decimal"/>
      <w:pStyle w:val="37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248C179"/>
    <w:multiLevelType w:val="multilevel"/>
    <w:tmpl w:val="0248C179"/>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6">
    <w:nsid w:val="03D62ECE"/>
    <w:multiLevelType w:val="multilevel"/>
    <w:tmpl w:val="03D62ECE"/>
    <w:lvl w:ilvl="0" w:tentative="0">
      <w:start w:val="1"/>
      <w:numFmt w:val="lowerLetter"/>
      <w:pStyle w:val="441"/>
      <w:lvlText w:val="%1)"/>
      <w:lvlJc w:val="left"/>
      <w:pPr>
        <w:ind w:left="902" w:hanging="420"/>
      </w:pPr>
      <w:rPr>
        <w:color w:val="00000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25B654F3"/>
    <w:multiLevelType w:val="multilevel"/>
    <w:tmpl w:val="25B654F3"/>
    <w:lvl w:ilvl="0" w:tentative="0">
      <w:start w:val="1"/>
      <w:numFmt w:val="decimal"/>
      <w:pStyle w:val="448"/>
      <w:lvlText w:val="%1."/>
      <w:lvlJc w:val="left"/>
      <w:pPr>
        <w:tabs>
          <w:tab w:val="left" w:pos="360"/>
        </w:tabs>
        <w:ind w:left="360" w:hanging="36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59ADCABA"/>
    <w:multiLevelType w:val="multilevel"/>
    <w:tmpl w:val="59ADCABA"/>
    <w:lvl w:ilvl="0" w:tentative="0">
      <w:start w:val="1"/>
      <w:numFmt w:val="decimal"/>
      <w:pStyle w:val="385"/>
      <w:suff w:val="nothing"/>
      <w:lvlText w:val="%1　"/>
      <w:lvlJc w:val="left"/>
      <w:pPr>
        <w:ind w:left="-25" w:firstLine="0"/>
      </w:pPr>
      <w:rPr>
        <w:rFonts w:ascii="Times New Roman" w:hAnsi="Times New Roman" w:eastAsia="宋体"/>
        <w:b/>
        <w:i w:val="0"/>
        <w:color w:val="000000"/>
        <w:sz w:val="28"/>
        <w:u w:val="none"/>
      </w:rPr>
    </w:lvl>
    <w:lvl w:ilvl="1" w:tentative="0">
      <w:start w:val="1"/>
      <w:numFmt w:val="decimal"/>
      <w:suff w:val="nothing"/>
      <w:lvlText w:val="%1.%2　"/>
      <w:lvlJc w:val="left"/>
      <w:pPr>
        <w:ind w:left="-25" w:firstLine="0"/>
      </w:pPr>
      <w:rPr>
        <w:rFonts w:ascii="Times New Roman" w:hAnsi="Times New Roman" w:eastAsia="宋体"/>
        <w:b/>
        <w:i w:val="0"/>
        <w:color w:val="000000"/>
        <w:spacing w:val="0"/>
        <w:sz w:val="28"/>
        <w:u w:val="none"/>
      </w:rPr>
    </w:lvl>
    <w:lvl w:ilvl="2" w:tentative="0">
      <w:start w:val="1"/>
      <w:numFmt w:val="decimal"/>
      <w:suff w:val="nothing"/>
      <w:lvlText w:val="%1.%2.%3　"/>
      <w:lvlJc w:val="left"/>
      <w:pPr>
        <w:ind w:left="-25" w:firstLine="0"/>
      </w:pPr>
      <w:rPr>
        <w:rFonts w:ascii="Times New Roman" w:hAnsi="Times New Roman" w:eastAsia="黑体"/>
        <w:b/>
        <w:i w:val="0"/>
        <w:sz w:val="28"/>
      </w:rPr>
    </w:lvl>
    <w:lvl w:ilvl="3" w:tentative="0">
      <w:start w:val="1"/>
      <w:numFmt w:val="decimal"/>
      <w:pStyle w:val="404"/>
      <w:suff w:val="nothing"/>
      <w:lvlText w:val="%1.%2.%3.%4　"/>
      <w:lvlJc w:val="left"/>
      <w:pPr>
        <w:ind w:left="-25" w:firstLine="0"/>
      </w:pPr>
      <w:rPr>
        <w:rFonts w:ascii="Times New Roman" w:hAnsi="Times New Roman" w:eastAsia="宋体"/>
        <w:b/>
        <w:i w:val="0"/>
        <w:color w:val="000000"/>
        <w:sz w:val="28"/>
        <w:u w:val="none"/>
      </w:rPr>
    </w:lvl>
    <w:lvl w:ilvl="4" w:tentative="0">
      <w:start w:val="1"/>
      <w:numFmt w:val="decimal"/>
      <w:suff w:val="nothing"/>
      <w:lvlText w:val="%1.%2.%3.%4.%5　"/>
      <w:lvlJc w:val="left"/>
      <w:pPr>
        <w:ind w:left="-25" w:firstLine="0"/>
      </w:pPr>
      <w:rPr>
        <w:rFonts w:ascii="Times New Roman" w:hAnsi="Times New Roman" w:eastAsia="宋体"/>
        <w:b/>
        <w:i w:val="0"/>
        <w:color w:val="000000"/>
        <w:sz w:val="28"/>
        <w:u w:val="none"/>
      </w:rPr>
    </w:lvl>
    <w:lvl w:ilvl="5" w:tentative="0">
      <w:start w:val="1"/>
      <w:numFmt w:val="decimal"/>
      <w:suff w:val="nothing"/>
      <w:lvlText w:val="%1.%2.%3.%4.%5.%6　"/>
      <w:lvlJc w:val="left"/>
      <w:pPr>
        <w:ind w:left="-25" w:firstLine="0"/>
      </w:pPr>
      <w:rPr>
        <w:rFonts w:ascii="Times New Roman" w:hAnsi="Times New Roman" w:eastAsia="宋体"/>
        <w:b/>
        <w:i w:val="0"/>
        <w:sz w:val="28"/>
      </w:rPr>
    </w:lvl>
    <w:lvl w:ilvl="6" w:tentative="0">
      <w:start w:val="1"/>
      <w:numFmt w:val="lowerLetter"/>
      <w:pStyle w:val="475"/>
      <w:lvlText w:val="%7) "/>
      <w:lvlJc w:val="left"/>
      <w:pPr>
        <w:tabs>
          <w:tab w:val="left" w:pos="635"/>
        </w:tabs>
        <w:ind w:left="-125" w:firstLine="400"/>
      </w:pPr>
      <w:rPr>
        <w:rFonts w:ascii="Times New Roman" w:hAnsi="Times New Roman" w:eastAsia="宋体"/>
        <w:b/>
        <w:i w:val="0"/>
        <w:color w:val="000000"/>
        <w:sz w:val="28"/>
        <w:u w:val="none"/>
      </w:rPr>
    </w:lvl>
    <w:lvl w:ilvl="7" w:tentative="0">
      <w:start w:val="1"/>
      <w:numFmt w:val="decimal"/>
      <w:pStyle w:val="427"/>
      <w:lvlText w:val="%8) "/>
      <w:lvlJc w:val="left"/>
      <w:pPr>
        <w:tabs>
          <w:tab w:val="left" w:pos="860"/>
        </w:tabs>
        <w:ind w:left="500" w:firstLine="0"/>
      </w:pPr>
      <w:rPr>
        <w:rFonts w:ascii="Times New Roman" w:hAnsi="Times New Roman" w:eastAsia="宋体"/>
        <w:b/>
        <w:i w:val="0"/>
        <w:color w:val="000000"/>
        <w:sz w:val="28"/>
        <w:u w:val="none"/>
      </w:rPr>
    </w:lvl>
    <w:lvl w:ilvl="8" w:tentative="0">
      <w:start w:val="1"/>
      <w:numFmt w:val="decimal"/>
      <w:lvlText w:val="%9"/>
      <w:lvlJc w:val="left"/>
      <w:pPr>
        <w:tabs>
          <w:tab w:val="left" w:pos="860"/>
        </w:tabs>
        <w:ind w:left="500" w:firstLine="0"/>
      </w:pPr>
      <w:rPr>
        <w:rFonts w:hint="eastAsia" w:ascii="宋体" w:eastAsia="宋体"/>
        <w:b w:val="0"/>
        <w:i w:val="0"/>
        <w:color w:val="000000"/>
        <w:sz w:val="28"/>
        <w:u w:val="none"/>
      </w:rPr>
    </w:lvl>
  </w:abstractNum>
  <w:abstractNum w:abstractNumId="9">
    <w:nsid w:val="72183CF9"/>
    <w:multiLevelType w:val="multilevel"/>
    <w:tmpl w:val="72183CF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suff w:val="nothing"/>
      <w:lvlText w:val="%1.%2.%3.%4"/>
      <w:lvlJc w:val="left"/>
      <w:pPr>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3FA8"/>
    <w:rsid w:val="00342A43"/>
    <w:rsid w:val="006911F9"/>
    <w:rsid w:val="00A94086"/>
    <w:rsid w:val="02783566"/>
    <w:rsid w:val="02D768EE"/>
    <w:rsid w:val="034B2E38"/>
    <w:rsid w:val="0374096E"/>
    <w:rsid w:val="038F04E5"/>
    <w:rsid w:val="04175FD6"/>
    <w:rsid w:val="045A6BB1"/>
    <w:rsid w:val="05083AA8"/>
    <w:rsid w:val="051C683A"/>
    <w:rsid w:val="05200654"/>
    <w:rsid w:val="05411F1A"/>
    <w:rsid w:val="05CD76FE"/>
    <w:rsid w:val="064918B1"/>
    <w:rsid w:val="065A1D10"/>
    <w:rsid w:val="068E19BA"/>
    <w:rsid w:val="071575DF"/>
    <w:rsid w:val="076658C5"/>
    <w:rsid w:val="07A116DA"/>
    <w:rsid w:val="08491DE3"/>
    <w:rsid w:val="086A3D60"/>
    <w:rsid w:val="08BB636A"/>
    <w:rsid w:val="0A0D0E47"/>
    <w:rsid w:val="0A4A3E4A"/>
    <w:rsid w:val="0A5D1DCF"/>
    <w:rsid w:val="0A750393"/>
    <w:rsid w:val="0AF3143D"/>
    <w:rsid w:val="0B4E7969"/>
    <w:rsid w:val="0D2F4F01"/>
    <w:rsid w:val="0D447276"/>
    <w:rsid w:val="0D533794"/>
    <w:rsid w:val="0D73269F"/>
    <w:rsid w:val="0E83616D"/>
    <w:rsid w:val="0F390621"/>
    <w:rsid w:val="0F722E76"/>
    <w:rsid w:val="0FD871D1"/>
    <w:rsid w:val="102D7100"/>
    <w:rsid w:val="10634FA7"/>
    <w:rsid w:val="10676AB0"/>
    <w:rsid w:val="10726430"/>
    <w:rsid w:val="10D41852"/>
    <w:rsid w:val="10E31F0B"/>
    <w:rsid w:val="11090198"/>
    <w:rsid w:val="11B83D89"/>
    <w:rsid w:val="11E345FF"/>
    <w:rsid w:val="128347B7"/>
    <w:rsid w:val="12940358"/>
    <w:rsid w:val="12AB7314"/>
    <w:rsid w:val="13284BF5"/>
    <w:rsid w:val="137E20DE"/>
    <w:rsid w:val="147815B3"/>
    <w:rsid w:val="155F28B5"/>
    <w:rsid w:val="156D6AF2"/>
    <w:rsid w:val="15AC6074"/>
    <w:rsid w:val="162B5097"/>
    <w:rsid w:val="162E0AC3"/>
    <w:rsid w:val="16324AA4"/>
    <w:rsid w:val="16F75359"/>
    <w:rsid w:val="170A0BE8"/>
    <w:rsid w:val="17813488"/>
    <w:rsid w:val="17B76BA0"/>
    <w:rsid w:val="17D80CE7"/>
    <w:rsid w:val="17D86F39"/>
    <w:rsid w:val="19530D45"/>
    <w:rsid w:val="196C5B8A"/>
    <w:rsid w:val="198D180A"/>
    <w:rsid w:val="19A4034B"/>
    <w:rsid w:val="19DA6D73"/>
    <w:rsid w:val="1A1D6E85"/>
    <w:rsid w:val="1A732F49"/>
    <w:rsid w:val="1BC77652"/>
    <w:rsid w:val="1C746B04"/>
    <w:rsid w:val="1C9072FC"/>
    <w:rsid w:val="1CA46B39"/>
    <w:rsid w:val="1DF022BA"/>
    <w:rsid w:val="1E6F44CA"/>
    <w:rsid w:val="1F135430"/>
    <w:rsid w:val="1F6213DC"/>
    <w:rsid w:val="1F691D3E"/>
    <w:rsid w:val="1F7B7CAA"/>
    <w:rsid w:val="1F7F7E8F"/>
    <w:rsid w:val="1F977969"/>
    <w:rsid w:val="1FB75686"/>
    <w:rsid w:val="1FE04BDC"/>
    <w:rsid w:val="203369EF"/>
    <w:rsid w:val="204B441F"/>
    <w:rsid w:val="205130BF"/>
    <w:rsid w:val="20631369"/>
    <w:rsid w:val="20AE6A88"/>
    <w:rsid w:val="20F070A1"/>
    <w:rsid w:val="21C66054"/>
    <w:rsid w:val="21CF741C"/>
    <w:rsid w:val="22832FC2"/>
    <w:rsid w:val="22D851F2"/>
    <w:rsid w:val="234C3D8B"/>
    <w:rsid w:val="23631920"/>
    <w:rsid w:val="23C23149"/>
    <w:rsid w:val="240969F5"/>
    <w:rsid w:val="240C5D10"/>
    <w:rsid w:val="24822706"/>
    <w:rsid w:val="24940AF0"/>
    <w:rsid w:val="24D75B55"/>
    <w:rsid w:val="24DE4C11"/>
    <w:rsid w:val="259E25D9"/>
    <w:rsid w:val="25B3563D"/>
    <w:rsid w:val="2615534A"/>
    <w:rsid w:val="27094203"/>
    <w:rsid w:val="275A5DE5"/>
    <w:rsid w:val="27747016"/>
    <w:rsid w:val="27810011"/>
    <w:rsid w:val="27A801EB"/>
    <w:rsid w:val="28407A36"/>
    <w:rsid w:val="28C31174"/>
    <w:rsid w:val="2A403DF7"/>
    <w:rsid w:val="2AEA05DB"/>
    <w:rsid w:val="2B6C37C8"/>
    <w:rsid w:val="2B7E2FB9"/>
    <w:rsid w:val="2B8D65E4"/>
    <w:rsid w:val="2B8F2AF2"/>
    <w:rsid w:val="2BF6389D"/>
    <w:rsid w:val="2C6B7F24"/>
    <w:rsid w:val="2C7329E6"/>
    <w:rsid w:val="2C7F752B"/>
    <w:rsid w:val="2C987695"/>
    <w:rsid w:val="2D786A8F"/>
    <w:rsid w:val="2DC378EB"/>
    <w:rsid w:val="2DCD6330"/>
    <w:rsid w:val="2E214B41"/>
    <w:rsid w:val="2E460825"/>
    <w:rsid w:val="2E8C4181"/>
    <w:rsid w:val="2F0C18EA"/>
    <w:rsid w:val="2F5106E7"/>
    <w:rsid w:val="2F6572F3"/>
    <w:rsid w:val="2F6824F8"/>
    <w:rsid w:val="2F93390C"/>
    <w:rsid w:val="2FA15A0A"/>
    <w:rsid w:val="2FF43213"/>
    <w:rsid w:val="30F53497"/>
    <w:rsid w:val="311E37B6"/>
    <w:rsid w:val="32B12408"/>
    <w:rsid w:val="332C46F4"/>
    <w:rsid w:val="33A81A9A"/>
    <w:rsid w:val="340A6656"/>
    <w:rsid w:val="341A0FA3"/>
    <w:rsid w:val="34474DD2"/>
    <w:rsid w:val="35717D3D"/>
    <w:rsid w:val="35966F62"/>
    <w:rsid w:val="35B13EE3"/>
    <w:rsid w:val="35B97CEB"/>
    <w:rsid w:val="35CE6E2D"/>
    <w:rsid w:val="365D6D52"/>
    <w:rsid w:val="3662461F"/>
    <w:rsid w:val="366D1C16"/>
    <w:rsid w:val="370A7A1E"/>
    <w:rsid w:val="38C2256B"/>
    <w:rsid w:val="38D10954"/>
    <w:rsid w:val="39423601"/>
    <w:rsid w:val="394C4FF5"/>
    <w:rsid w:val="395D72F1"/>
    <w:rsid w:val="39FF4321"/>
    <w:rsid w:val="3A184B1B"/>
    <w:rsid w:val="3B6317B8"/>
    <w:rsid w:val="3B9308FD"/>
    <w:rsid w:val="3BD40517"/>
    <w:rsid w:val="3BF829C0"/>
    <w:rsid w:val="3C0331DD"/>
    <w:rsid w:val="3C0C6032"/>
    <w:rsid w:val="3C1A101E"/>
    <w:rsid w:val="3C2123AD"/>
    <w:rsid w:val="3C740EB9"/>
    <w:rsid w:val="3CA54D45"/>
    <w:rsid w:val="3D7E0FAD"/>
    <w:rsid w:val="3DE73F04"/>
    <w:rsid w:val="3E4D5CCD"/>
    <w:rsid w:val="3EA00392"/>
    <w:rsid w:val="3EF94F1B"/>
    <w:rsid w:val="3F1D289E"/>
    <w:rsid w:val="3F65449E"/>
    <w:rsid w:val="3FD82827"/>
    <w:rsid w:val="3FE46A4C"/>
    <w:rsid w:val="40B82900"/>
    <w:rsid w:val="40F0234E"/>
    <w:rsid w:val="411E6178"/>
    <w:rsid w:val="415A29C9"/>
    <w:rsid w:val="415B1EBD"/>
    <w:rsid w:val="41FE126E"/>
    <w:rsid w:val="426D38DB"/>
    <w:rsid w:val="42A47894"/>
    <w:rsid w:val="42D31245"/>
    <w:rsid w:val="42FD1805"/>
    <w:rsid w:val="43027612"/>
    <w:rsid w:val="430A5CB5"/>
    <w:rsid w:val="432C3DA7"/>
    <w:rsid w:val="435432FF"/>
    <w:rsid w:val="43E44F48"/>
    <w:rsid w:val="44580936"/>
    <w:rsid w:val="4490144D"/>
    <w:rsid w:val="45A7518C"/>
    <w:rsid w:val="4612373E"/>
    <w:rsid w:val="46401681"/>
    <w:rsid w:val="46595ADB"/>
    <w:rsid w:val="46BA3F17"/>
    <w:rsid w:val="47321912"/>
    <w:rsid w:val="47AE4F49"/>
    <w:rsid w:val="47F72214"/>
    <w:rsid w:val="48627842"/>
    <w:rsid w:val="48A82572"/>
    <w:rsid w:val="48D20D6D"/>
    <w:rsid w:val="49007C38"/>
    <w:rsid w:val="49096742"/>
    <w:rsid w:val="4931593A"/>
    <w:rsid w:val="49320BEE"/>
    <w:rsid w:val="494D2A33"/>
    <w:rsid w:val="49B26D3A"/>
    <w:rsid w:val="49F97C8E"/>
    <w:rsid w:val="4A5E7408"/>
    <w:rsid w:val="4ADD7DE7"/>
    <w:rsid w:val="4BC32D6D"/>
    <w:rsid w:val="4D437C4E"/>
    <w:rsid w:val="4D8E361A"/>
    <w:rsid w:val="4DAD3AA0"/>
    <w:rsid w:val="4E7939C1"/>
    <w:rsid w:val="4EC56BC8"/>
    <w:rsid w:val="4F442786"/>
    <w:rsid w:val="50AE25B5"/>
    <w:rsid w:val="514209A3"/>
    <w:rsid w:val="51F506B5"/>
    <w:rsid w:val="52A4477D"/>
    <w:rsid w:val="52BB3A4E"/>
    <w:rsid w:val="53285977"/>
    <w:rsid w:val="53566970"/>
    <w:rsid w:val="536B70CD"/>
    <w:rsid w:val="53B51F86"/>
    <w:rsid w:val="5544464B"/>
    <w:rsid w:val="555E7D76"/>
    <w:rsid w:val="55AE2AAB"/>
    <w:rsid w:val="55AE4859"/>
    <w:rsid w:val="55E76A23"/>
    <w:rsid w:val="560A36DC"/>
    <w:rsid w:val="583B6C76"/>
    <w:rsid w:val="58C25983"/>
    <w:rsid w:val="59916541"/>
    <w:rsid w:val="5A034F4B"/>
    <w:rsid w:val="5A0A79CC"/>
    <w:rsid w:val="5A82520F"/>
    <w:rsid w:val="5ABA7779"/>
    <w:rsid w:val="5AFA2444"/>
    <w:rsid w:val="5B4B66A7"/>
    <w:rsid w:val="5BFB1EA4"/>
    <w:rsid w:val="5C09314B"/>
    <w:rsid w:val="5CEE3280"/>
    <w:rsid w:val="5CF80AB0"/>
    <w:rsid w:val="5D9D7EA3"/>
    <w:rsid w:val="5E8D0829"/>
    <w:rsid w:val="5F131BD1"/>
    <w:rsid w:val="5F775CBC"/>
    <w:rsid w:val="5F89047F"/>
    <w:rsid w:val="5F8B48CF"/>
    <w:rsid w:val="5FA34D03"/>
    <w:rsid w:val="5FB24F46"/>
    <w:rsid w:val="60242381"/>
    <w:rsid w:val="610B7004"/>
    <w:rsid w:val="62EF5AAF"/>
    <w:rsid w:val="62FB6C04"/>
    <w:rsid w:val="63F2536A"/>
    <w:rsid w:val="644E5781"/>
    <w:rsid w:val="64A62BA0"/>
    <w:rsid w:val="65000502"/>
    <w:rsid w:val="650B408C"/>
    <w:rsid w:val="65971A6E"/>
    <w:rsid w:val="65AF2289"/>
    <w:rsid w:val="65C67342"/>
    <w:rsid w:val="65F93C89"/>
    <w:rsid w:val="66B864CB"/>
    <w:rsid w:val="66FB71D3"/>
    <w:rsid w:val="675B4115"/>
    <w:rsid w:val="684F7149"/>
    <w:rsid w:val="6949237B"/>
    <w:rsid w:val="69BA3375"/>
    <w:rsid w:val="69E46AE6"/>
    <w:rsid w:val="6AB8686F"/>
    <w:rsid w:val="6B680BAF"/>
    <w:rsid w:val="6BE70E9E"/>
    <w:rsid w:val="6C5B59F4"/>
    <w:rsid w:val="6CF43B59"/>
    <w:rsid w:val="6D2935CA"/>
    <w:rsid w:val="6D836B3F"/>
    <w:rsid w:val="6DA07690"/>
    <w:rsid w:val="6F1B7937"/>
    <w:rsid w:val="6F3F6B3A"/>
    <w:rsid w:val="6FBA7D18"/>
    <w:rsid w:val="6FBC4E2F"/>
    <w:rsid w:val="70DF2FD7"/>
    <w:rsid w:val="70F11CD3"/>
    <w:rsid w:val="71771B4C"/>
    <w:rsid w:val="717B788E"/>
    <w:rsid w:val="718304F0"/>
    <w:rsid w:val="71C10C7E"/>
    <w:rsid w:val="72022025"/>
    <w:rsid w:val="72E651DB"/>
    <w:rsid w:val="739E5AB6"/>
    <w:rsid w:val="73D72D76"/>
    <w:rsid w:val="73EB641B"/>
    <w:rsid w:val="73F73EF4"/>
    <w:rsid w:val="742130FB"/>
    <w:rsid w:val="75231348"/>
    <w:rsid w:val="771542E1"/>
    <w:rsid w:val="773225B0"/>
    <w:rsid w:val="775363CA"/>
    <w:rsid w:val="78C83EF1"/>
    <w:rsid w:val="790757F1"/>
    <w:rsid w:val="79334EF2"/>
    <w:rsid w:val="79EF4346"/>
    <w:rsid w:val="7A0B5A1A"/>
    <w:rsid w:val="7A0D5743"/>
    <w:rsid w:val="7A176B3A"/>
    <w:rsid w:val="7A364D4E"/>
    <w:rsid w:val="7B445194"/>
    <w:rsid w:val="7C18217D"/>
    <w:rsid w:val="7C5E5DE2"/>
    <w:rsid w:val="7C672EE5"/>
    <w:rsid w:val="7D006E99"/>
    <w:rsid w:val="7D445EF3"/>
    <w:rsid w:val="7D5E0B05"/>
    <w:rsid w:val="7D9B2D02"/>
    <w:rsid w:val="7DAE2D99"/>
    <w:rsid w:val="7DDB5B3B"/>
    <w:rsid w:val="7DE06CDB"/>
    <w:rsid w:val="7E3220D9"/>
    <w:rsid w:val="7E5C7291"/>
    <w:rsid w:val="7E930A3B"/>
    <w:rsid w:val="7F4738A3"/>
    <w:rsid w:val="7FB273CA"/>
    <w:rsid w:val="7FDF06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nhideWhenUsed="0"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90"/>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91"/>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92"/>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93"/>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94"/>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95"/>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96"/>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97"/>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98"/>
    <w:qFormat/>
    <w:uiPriority w:val="9"/>
    <w:pPr>
      <w:keepNext/>
      <w:keepLines/>
      <w:spacing w:before="320" w:after="200"/>
      <w:outlineLvl w:val="8"/>
    </w:pPr>
    <w:rPr>
      <w:rFonts w:ascii="Arial" w:hAnsi="Arial" w:eastAsia="Arial" w:cs="Arial"/>
      <w:i/>
      <w:iCs/>
      <w:szCs w:val="21"/>
    </w:rPr>
  </w:style>
  <w:style w:type="character" w:default="1" w:styleId="40">
    <w:name w:val="Default Paragraph Font"/>
    <w:qFormat/>
    <w:uiPriority w:val="1"/>
  </w:style>
  <w:style w:type="table" w:default="1" w:styleId="38">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39"/>
    <w:pPr>
      <w:spacing w:after="57"/>
      <w:ind w:left="1701"/>
    </w:pPr>
  </w:style>
  <w:style w:type="paragraph" w:styleId="12">
    <w:name w:val="table of authorities"/>
    <w:basedOn w:val="1"/>
    <w:next w:val="1"/>
    <w:qFormat/>
    <w:uiPriority w:val="99"/>
    <w:pPr>
      <w:ind w:left="420"/>
    </w:pPr>
    <w:rPr>
      <w:szCs w:val="20"/>
    </w:rPr>
  </w:style>
  <w:style w:type="paragraph" w:styleId="13">
    <w:name w:val="Normal Indent"/>
    <w:basedOn w:val="1"/>
    <w:next w:val="1"/>
    <w:unhideWhenUsed/>
    <w:qFormat/>
    <w:uiPriority w:val="0"/>
    <w:pPr>
      <w:ind w:firstLine="420"/>
    </w:pPr>
    <w:rPr>
      <w:rFonts w:ascii="宋体" w:hAnsi="Times New Roman"/>
      <w:sz w:val="24"/>
    </w:rPr>
  </w:style>
  <w:style w:type="paragraph" w:styleId="14">
    <w:name w:val="caption"/>
    <w:basedOn w:val="1"/>
    <w:next w:val="1"/>
    <w:qFormat/>
    <w:uiPriority w:val="35"/>
    <w:pPr>
      <w:spacing w:line="276" w:lineRule="auto"/>
    </w:pPr>
    <w:rPr>
      <w:b/>
      <w:bCs/>
      <w:color w:val="4F81BD"/>
      <w:sz w:val="18"/>
      <w:szCs w:val="18"/>
    </w:rPr>
  </w:style>
  <w:style w:type="paragraph" w:styleId="15">
    <w:name w:val="annotation text"/>
    <w:basedOn w:val="1"/>
    <w:qFormat/>
    <w:uiPriority w:val="99"/>
    <w:pPr>
      <w:jc w:val="left"/>
    </w:pPr>
  </w:style>
  <w:style w:type="paragraph" w:styleId="16">
    <w:name w:val="Body Text"/>
    <w:basedOn w:val="1"/>
    <w:next w:val="1"/>
    <w:qFormat/>
    <w:uiPriority w:val="0"/>
    <w:pPr>
      <w:tabs>
        <w:tab w:val="left" w:pos="567"/>
      </w:tabs>
      <w:spacing w:before="120" w:line="22" w:lineRule="atLeast"/>
    </w:pPr>
    <w:rPr>
      <w:rFonts w:ascii="宋体" w:hAnsi="宋体"/>
      <w:sz w:val="24"/>
      <w:szCs w:val="20"/>
    </w:rPr>
  </w:style>
  <w:style w:type="paragraph" w:styleId="17">
    <w:name w:val="Body Text Indent"/>
    <w:basedOn w:val="1"/>
    <w:next w:val="1"/>
    <w:qFormat/>
    <w:uiPriority w:val="0"/>
    <w:pPr>
      <w:spacing w:line="360" w:lineRule="auto"/>
      <w:ind w:firstLine="570"/>
    </w:pPr>
    <w:rPr>
      <w:sz w:val="24"/>
    </w:rPr>
  </w:style>
  <w:style w:type="paragraph" w:styleId="18">
    <w:name w:val="toc 5"/>
    <w:basedOn w:val="1"/>
    <w:next w:val="1"/>
    <w:qFormat/>
    <w:uiPriority w:val="39"/>
    <w:pPr>
      <w:spacing w:after="57"/>
      <w:ind w:left="1134"/>
    </w:pPr>
  </w:style>
  <w:style w:type="paragraph" w:styleId="19">
    <w:name w:val="toc 3"/>
    <w:basedOn w:val="1"/>
    <w:next w:val="1"/>
    <w:qFormat/>
    <w:uiPriority w:val="39"/>
    <w:pPr>
      <w:spacing w:after="57"/>
      <w:ind w:left="567"/>
    </w:pPr>
  </w:style>
  <w:style w:type="paragraph" w:styleId="20">
    <w:name w:val="Plain Text"/>
    <w:basedOn w:val="1"/>
    <w:next w:val="13"/>
    <w:unhideWhenUsed/>
    <w:qFormat/>
    <w:uiPriority w:val="0"/>
    <w:rPr>
      <w:rFonts w:ascii="宋体" w:hAnsi="宋体"/>
      <w:sz w:val="26"/>
    </w:rPr>
  </w:style>
  <w:style w:type="paragraph" w:styleId="21">
    <w:name w:val="toc 8"/>
    <w:basedOn w:val="1"/>
    <w:next w:val="1"/>
    <w:qFormat/>
    <w:uiPriority w:val="39"/>
    <w:pPr>
      <w:spacing w:after="57"/>
      <w:ind w:left="1984"/>
    </w:pPr>
  </w:style>
  <w:style w:type="paragraph" w:styleId="22">
    <w:name w:val="endnote text"/>
    <w:basedOn w:val="1"/>
    <w:link w:val="236"/>
    <w:qFormat/>
    <w:uiPriority w:val="99"/>
    <w:rPr>
      <w:sz w:val="20"/>
    </w:rPr>
  </w:style>
  <w:style w:type="paragraph" w:styleId="23">
    <w:name w:val="Balloon Text"/>
    <w:basedOn w:val="1"/>
    <w:link w:val="507"/>
    <w:qFormat/>
    <w:uiPriority w:val="99"/>
    <w:rPr>
      <w:sz w:val="18"/>
      <w:szCs w:val="18"/>
    </w:rPr>
  </w:style>
  <w:style w:type="paragraph" w:styleId="24">
    <w:name w:val="footer"/>
    <w:basedOn w:val="1"/>
    <w:link w:val="109"/>
    <w:qFormat/>
    <w:uiPriority w:val="99"/>
    <w:pPr>
      <w:tabs>
        <w:tab w:val="center" w:pos="7143"/>
        <w:tab w:val="right" w:pos="14287"/>
      </w:tabs>
    </w:pPr>
  </w:style>
  <w:style w:type="paragraph" w:styleId="25">
    <w:name w:val="envelope return"/>
    <w:basedOn w:val="1"/>
    <w:qFormat/>
    <w:uiPriority w:val="99"/>
    <w:rPr>
      <w:rFonts w:ascii="Arial" w:hAnsi="Arial" w:cs="Arial"/>
    </w:rPr>
  </w:style>
  <w:style w:type="paragraph" w:styleId="26">
    <w:name w:val="header"/>
    <w:basedOn w:val="1"/>
    <w:link w:val="107"/>
    <w:qFormat/>
    <w:uiPriority w:val="99"/>
    <w:pPr>
      <w:tabs>
        <w:tab w:val="center" w:pos="7143"/>
        <w:tab w:val="right" w:pos="14287"/>
      </w:tabs>
    </w:pPr>
  </w:style>
  <w:style w:type="paragraph" w:styleId="27">
    <w:name w:val="toc 1"/>
    <w:basedOn w:val="1"/>
    <w:next w:val="1"/>
    <w:qFormat/>
    <w:uiPriority w:val="39"/>
    <w:pPr>
      <w:spacing w:after="57"/>
    </w:pPr>
  </w:style>
  <w:style w:type="paragraph" w:styleId="28">
    <w:name w:val="toc 4"/>
    <w:basedOn w:val="1"/>
    <w:next w:val="1"/>
    <w:qFormat/>
    <w:uiPriority w:val="39"/>
    <w:pPr>
      <w:spacing w:after="57"/>
      <w:ind w:left="850"/>
    </w:pPr>
  </w:style>
  <w:style w:type="paragraph" w:styleId="29">
    <w:name w:val="Subtitle"/>
    <w:basedOn w:val="1"/>
    <w:next w:val="1"/>
    <w:link w:val="102"/>
    <w:qFormat/>
    <w:uiPriority w:val="11"/>
    <w:pPr>
      <w:spacing w:before="200" w:after="200"/>
    </w:pPr>
    <w:rPr>
      <w:sz w:val="24"/>
    </w:rPr>
  </w:style>
  <w:style w:type="paragraph" w:styleId="30">
    <w:name w:val="footnote text"/>
    <w:basedOn w:val="1"/>
    <w:link w:val="235"/>
    <w:qFormat/>
    <w:uiPriority w:val="99"/>
    <w:pPr>
      <w:spacing w:after="40"/>
    </w:pPr>
    <w:rPr>
      <w:sz w:val="18"/>
    </w:rPr>
  </w:style>
  <w:style w:type="paragraph" w:styleId="31">
    <w:name w:val="toc 6"/>
    <w:basedOn w:val="1"/>
    <w:next w:val="1"/>
    <w:qFormat/>
    <w:uiPriority w:val="39"/>
    <w:pPr>
      <w:spacing w:after="57"/>
      <w:ind w:left="1417"/>
    </w:pPr>
  </w:style>
  <w:style w:type="paragraph" w:styleId="32">
    <w:name w:val="table of figures"/>
    <w:basedOn w:val="1"/>
    <w:next w:val="1"/>
    <w:qFormat/>
    <w:uiPriority w:val="99"/>
  </w:style>
  <w:style w:type="paragraph" w:styleId="33">
    <w:name w:val="toc 2"/>
    <w:basedOn w:val="1"/>
    <w:next w:val="1"/>
    <w:qFormat/>
    <w:uiPriority w:val="39"/>
    <w:pPr>
      <w:spacing w:after="57"/>
      <w:ind w:left="283"/>
    </w:pPr>
  </w:style>
  <w:style w:type="paragraph" w:styleId="34">
    <w:name w:val="toc 9"/>
    <w:basedOn w:val="1"/>
    <w:next w:val="1"/>
    <w:qFormat/>
    <w:uiPriority w:val="39"/>
    <w:pPr>
      <w:spacing w:after="57"/>
      <w:ind w:left="2268"/>
    </w:pPr>
  </w:style>
  <w:style w:type="paragraph" w:styleId="35">
    <w:name w:val="Normal (Web)"/>
    <w:basedOn w:val="1"/>
    <w:qFormat/>
    <w:uiPriority w:val="99"/>
    <w:pPr>
      <w:widowControl/>
      <w:spacing w:before="100" w:beforeAutospacing="1" w:after="100" w:afterAutospacing="1"/>
      <w:jc w:val="left"/>
    </w:pPr>
    <w:rPr>
      <w:rFonts w:ascii="宋体" w:hAnsi="宋体" w:cs="宋体"/>
      <w:sz w:val="24"/>
    </w:rPr>
  </w:style>
  <w:style w:type="paragraph" w:styleId="36">
    <w:name w:val="Title"/>
    <w:basedOn w:val="1"/>
    <w:next w:val="1"/>
    <w:link w:val="101"/>
    <w:qFormat/>
    <w:uiPriority w:val="10"/>
    <w:pPr>
      <w:spacing w:before="300" w:after="200"/>
      <w:contextualSpacing/>
    </w:pPr>
    <w:rPr>
      <w:sz w:val="48"/>
      <w:szCs w:val="48"/>
    </w:rPr>
  </w:style>
  <w:style w:type="paragraph" w:styleId="37">
    <w:name w:val="Body Text First Indent 2"/>
    <w:basedOn w:val="17"/>
    <w:next w:val="1"/>
    <w:qFormat/>
    <w:uiPriority w:val="0"/>
    <w:pPr>
      <w:spacing w:after="120" w:line="480" w:lineRule="exact"/>
      <w:ind w:left="420" w:firstLine="420"/>
    </w:pPr>
    <w:rPr>
      <w:szCs w:val="20"/>
    </w:rPr>
  </w:style>
  <w:style w:type="table" w:styleId="3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basedOn w:val="40"/>
    <w:qFormat/>
    <w:uiPriority w:val="22"/>
    <w:rPr>
      <w:b/>
      <w:bCs/>
    </w:rPr>
  </w:style>
  <w:style w:type="character" w:styleId="42">
    <w:name w:val="endnote reference"/>
    <w:qFormat/>
    <w:uiPriority w:val="99"/>
    <w:rPr>
      <w:vertAlign w:val="superscript"/>
    </w:rPr>
  </w:style>
  <w:style w:type="character" w:styleId="43">
    <w:name w:val="FollowedHyperlink"/>
    <w:basedOn w:val="40"/>
    <w:qFormat/>
    <w:uiPriority w:val="0"/>
    <w:rPr>
      <w:color w:val="666666"/>
      <w:u w:val="none"/>
    </w:rPr>
  </w:style>
  <w:style w:type="character" w:styleId="44">
    <w:name w:val="HTML Definition"/>
    <w:basedOn w:val="40"/>
    <w:qFormat/>
    <w:uiPriority w:val="0"/>
    <w:rPr>
      <w:i/>
      <w:iCs/>
    </w:rPr>
  </w:style>
  <w:style w:type="character" w:styleId="45">
    <w:name w:val="Hyperlink"/>
    <w:qFormat/>
    <w:uiPriority w:val="99"/>
    <w:rPr>
      <w:color w:val="0000FF"/>
      <w:u w:val="single"/>
    </w:rPr>
  </w:style>
  <w:style w:type="character" w:styleId="46">
    <w:name w:val="HTML Code"/>
    <w:basedOn w:val="40"/>
    <w:qFormat/>
    <w:uiPriority w:val="0"/>
    <w:rPr>
      <w:rFonts w:hint="default" w:ascii="monospace" w:hAnsi="monospace" w:eastAsia="monospace" w:cs="monospace"/>
      <w:sz w:val="21"/>
      <w:szCs w:val="21"/>
    </w:rPr>
  </w:style>
  <w:style w:type="character" w:styleId="47">
    <w:name w:val="annotation reference"/>
    <w:basedOn w:val="40"/>
    <w:qFormat/>
    <w:uiPriority w:val="99"/>
    <w:rPr>
      <w:sz w:val="21"/>
      <w:szCs w:val="21"/>
    </w:rPr>
  </w:style>
  <w:style w:type="character" w:styleId="48">
    <w:name w:val="footnote reference"/>
    <w:qFormat/>
    <w:uiPriority w:val="99"/>
    <w:rPr>
      <w:vertAlign w:val="superscript"/>
    </w:rPr>
  </w:style>
  <w:style w:type="character" w:styleId="49">
    <w:name w:val="HTML Keyboard"/>
    <w:basedOn w:val="40"/>
    <w:qFormat/>
    <w:uiPriority w:val="0"/>
    <w:rPr>
      <w:rFonts w:hint="default" w:ascii="monospace" w:hAnsi="monospace" w:eastAsia="monospace" w:cs="monospace"/>
      <w:sz w:val="21"/>
      <w:szCs w:val="21"/>
    </w:rPr>
  </w:style>
  <w:style w:type="character" w:styleId="50">
    <w:name w:val="HTML Sample"/>
    <w:basedOn w:val="40"/>
    <w:qFormat/>
    <w:uiPriority w:val="0"/>
    <w:rPr>
      <w:rFonts w:ascii="monospace" w:hAnsi="monospace" w:eastAsia="monospace" w:cs="monospace"/>
      <w:sz w:val="21"/>
      <w:szCs w:val="21"/>
    </w:rPr>
  </w:style>
  <w:style w:type="character" w:customStyle="1" w:styleId="51">
    <w:name w:val="Heading 1 Char"/>
    <w:basedOn w:val="40"/>
    <w:qFormat/>
    <w:uiPriority w:val="9"/>
    <w:rPr>
      <w:rFonts w:ascii="Arial" w:hAnsi="Arial" w:eastAsia="Arial" w:cs="Arial"/>
      <w:sz w:val="40"/>
      <w:szCs w:val="40"/>
    </w:rPr>
  </w:style>
  <w:style w:type="character" w:customStyle="1" w:styleId="52">
    <w:name w:val="Heading 2 Char"/>
    <w:basedOn w:val="40"/>
    <w:qFormat/>
    <w:uiPriority w:val="9"/>
    <w:rPr>
      <w:rFonts w:ascii="Arial" w:hAnsi="Arial" w:eastAsia="Arial" w:cs="Arial"/>
      <w:sz w:val="34"/>
    </w:rPr>
  </w:style>
  <w:style w:type="character" w:customStyle="1" w:styleId="53">
    <w:name w:val="Heading 3 Char"/>
    <w:basedOn w:val="40"/>
    <w:qFormat/>
    <w:uiPriority w:val="9"/>
    <w:rPr>
      <w:rFonts w:ascii="Arial" w:hAnsi="Arial" w:eastAsia="Arial" w:cs="Arial"/>
      <w:sz w:val="30"/>
      <w:szCs w:val="30"/>
    </w:rPr>
  </w:style>
  <w:style w:type="character" w:customStyle="1" w:styleId="54">
    <w:name w:val="Heading 4 Char"/>
    <w:basedOn w:val="40"/>
    <w:qFormat/>
    <w:uiPriority w:val="9"/>
    <w:rPr>
      <w:rFonts w:ascii="Arial" w:hAnsi="Arial" w:eastAsia="Arial" w:cs="Arial"/>
      <w:b/>
      <w:bCs/>
      <w:sz w:val="26"/>
      <w:szCs w:val="26"/>
    </w:rPr>
  </w:style>
  <w:style w:type="character" w:customStyle="1" w:styleId="55">
    <w:name w:val="Heading 5 Char"/>
    <w:basedOn w:val="40"/>
    <w:qFormat/>
    <w:uiPriority w:val="9"/>
    <w:rPr>
      <w:rFonts w:ascii="Arial" w:hAnsi="Arial" w:eastAsia="Arial" w:cs="Arial"/>
      <w:b/>
      <w:bCs/>
      <w:sz w:val="24"/>
      <w:szCs w:val="24"/>
    </w:rPr>
  </w:style>
  <w:style w:type="character" w:customStyle="1" w:styleId="56">
    <w:name w:val="Heading 6 Char"/>
    <w:basedOn w:val="40"/>
    <w:qFormat/>
    <w:uiPriority w:val="9"/>
    <w:rPr>
      <w:rFonts w:ascii="Arial" w:hAnsi="Arial" w:eastAsia="Arial" w:cs="Arial"/>
      <w:b/>
      <w:bCs/>
      <w:sz w:val="22"/>
      <w:szCs w:val="22"/>
    </w:rPr>
  </w:style>
  <w:style w:type="character" w:customStyle="1" w:styleId="57">
    <w:name w:val="Heading 7 Char"/>
    <w:basedOn w:val="40"/>
    <w:qFormat/>
    <w:uiPriority w:val="9"/>
    <w:rPr>
      <w:rFonts w:ascii="Arial" w:hAnsi="Arial" w:eastAsia="Arial" w:cs="Arial"/>
      <w:b/>
      <w:bCs/>
      <w:i/>
      <w:iCs/>
      <w:sz w:val="22"/>
      <w:szCs w:val="22"/>
    </w:rPr>
  </w:style>
  <w:style w:type="character" w:customStyle="1" w:styleId="58">
    <w:name w:val="Heading 8 Char"/>
    <w:basedOn w:val="40"/>
    <w:qFormat/>
    <w:uiPriority w:val="9"/>
    <w:rPr>
      <w:rFonts w:ascii="Arial" w:hAnsi="Arial" w:eastAsia="Arial" w:cs="Arial"/>
      <w:i/>
      <w:iCs/>
      <w:sz w:val="22"/>
      <w:szCs w:val="22"/>
    </w:rPr>
  </w:style>
  <w:style w:type="character" w:customStyle="1" w:styleId="59">
    <w:name w:val="Heading 9 Char"/>
    <w:basedOn w:val="40"/>
    <w:qFormat/>
    <w:uiPriority w:val="9"/>
    <w:rPr>
      <w:rFonts w:ascii="Arial" w:hAnsi="Arial" w:eastAsia="Arial" w:cs="Arial"/>
      <w:i/>
      <w:iCs/>
      <w:sz w:val="21"/>
      <w:szCs w:val="21"/>
    </w:rPr>
  </w:style>
  <w:style w:type="character" w:customStyle="1" w:styleId="60">
    <w:name w:val="Title Char"/>
    <w:basedOn w:val="40"/>
    <w:qFormat/>
    <w:uiPriority w:val="10"/>
    <w:rPr>
      <w:sz w:val="48"/>
      <w:szCs w:val="48"/>
    </w:rPr>
  </w:style>
  <w:style w:type="character" w:customStyle="1" w:styleId="61">
    <w:name w:val="Subtitle Char"/>
    <w:basedOn w:val="40"/>
    <w:qFormat/>
    <w:uiPriority w:val="11"/>
    <w:rPr>
      <w:sz w:val="24"/>
      <w:szCs w:val="24"/>
    </w:rPr>
  </w:style>
  <w:style w:type="character" w:customStyle="1" w:styleId="62">
    <w:name w:val="Quote Char"/>
    <w:qFormat/>
    <w:uiPriority w:val="29"/>
    <w:rPr>
      <w:i/>
    </w:rPr>
  </w:style>
  <w:style w:type="character" w:customStyle="1" w:styleId="63">
    <w:name w:val="Intense Quote Char"/>
    <w:qFormat/>
    <w:uiPriority w:val="30"/>
    <w:rPr>
      <w:i/>
    </w:rPr>
  </w:style>
  <w:style w:type="character" w:customStyle="1" w:styleId="64">
    <w:name w:val="Header Char"/>
    <w:basedOn w:val="40"/>
    <w:qFormat/>
    <w:uiPriority w:val="99"/>
  </w:style>
  <w:style w:type="character" w:customStyle="1" w:styleId="65">
    <w:name w:val="Footer Char"/>
    <w:basedOn w:val="40"/>
    <w:qFormat/>
    <w:uiPriority w:val="99"/>
  </w:style>
  <w:style w:type="character" w:customStyle="1" w:styleId="66">
    <w:name w:val="Caption Char"/>
    <w:qFormat/>
    <w:uiPriority w:val="99"/>
  </w:style>
  <w:style w:type="table" w:customStyle="1" w:styleId="67">
    <w:name w:val="Plain Table 1"/>
    <w:basedOn w:val="3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8">
    <w:name w:val="Plain Table 2"/>
    <w:basedOn w:val="3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9">
    <w:name w:val="Plain Table 3"/>
    <w:basedOn w:val="3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Plain Table 4"/>
    <w:basedOn w:val="3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Plain Table 5"/>
    <w:basedOn w:val="3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Grid Table 1 Light"/>
    <w:basedOn w:val="3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3">
    <w:name w:val="Grid Table 2"/>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w:basedOn w:val="3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4"/>
    <w:basedOn w:val="3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5 Dark"/>
    <w:basedOn w:val="3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77">
    <w:name w:val="Grid Table 6 Colorful"/>
    <w:basedOn w:val="3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8">
    <w:name w:val="Grid Table 7 Colorful"/>
    <w:basedOn w:val="3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79">
    <w:name w:val="List Table 1 Light"/>
    <w:basedOn w:val="3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0">
    <w:name w:val="List Table 2"/>
    <w:basedOn w:val="3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1">
    <w:name w:val="List Table 3"/>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2">
    <w:name w:val="List Table 4"/>
    <w:basedOn w:val="3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3">
    <w:name w:val="List Table 5 Dark"/>
    <w:basedOn w:val="3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4">
    <w:name w:val="List Table 6 Colorful"/>
    <w:basedOn w:val="3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5">
    <w:name w:val="List Table 7 Colorful"/>
    <w:basedOn w:val="3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86">
    <w:name w:val="Footnote Text Char"/>
    <w:qFormat/>
    <w:uiPriority w:val="99"/>
    <w:rPr>
      <w:sz w:val="18"/>
    </w:rPr>
  </w:style>
  <w:style w:type="character" w:customStyle="1" w:styleId="87">
    <w:name w:val="Endnote Text Char"/>
    <w:qFormat/>
    <w:uiPriority w:val="99"/>
    <w:rPr>
      <w:sz w:val="20"/>
    </w:rPr>
  </w:style>
  <w:style w:type="paragraph" w:customStyle="1" w:styleId="88">
    <w:name w:val="TOC Heading"/>
    <w:unhideWhenUsed/>
    <w:qFormat/>
    <w:uiPriority w:val="39"/>
    <w:rPr>
      <w:rFonts w:hint="default" w:ascii="Times New Roman" w:hAnsi="Times New Roman" w:eastAsia="宋体" w:cs="Times New Roman"/>
    </w:rPr>
  </w:style>
  <w:style w:type="paragraph" w:customStyle="1" w:styleId="89">
    <w:name w:val="正文文本1"/>
    <w:basedOn w:val="1"/>
    <w:next w:val="1"/>
    <w:qFormat/>
    <w:uiPriority w:val="0"/>
    <w:pPr>
      <w:tabs>
        <w:tab w:val="left" w:pos="567"/>
      </w:tabs>
      <w:spacing w:before="120" w:line="22" w:lineRule="atLeast"/>
    </w:pPr>
    <w:rPr>
      <w:rFonts w:ascii="宋体" w:hAnsi="宋体"/>
      <w:sz w:val="24"/>
    </w:rPr>
  </w:style>
  <w:style w:type="character" w:customStyle="1" w:styleId="90">
    <w:name w:val="标题 1 Char"/>
    <w:link w:val="2"/>
    <w:qFormat/>
    <w:uiPriority w:val="9"/>
    <w:rPr>
      <w:rFonts w:ascii="Arial" w:hAnsi="Arial" w:eastAsia="Arial" w:cs="Arial"/>
      <w:sz w:val="40"/>
      <w:szCs w:val="40"/>
    </w:rPr>
  </w:style>
  <w:style w:type="character" w:customStyle="1" w:styleId="91">
    <w:name w:val="标题 2 Char1"/>
    <w:link w:val="3"/>
    <w:qFormat/>
    <w:uiPriority w:val="9"/>
    <w:rPr>
      <w:rFonts w:ascii="Arial" w:hAnsi="Arial" w:eastAsia="Arial" w:cs="Arial"/>
      <w:sz w:val="34"/>
    </w:rPr>
  </w:style>
  <w:style w:type="character" w:customStyle="1" w:styleId="92">
    <w:name w:val="标题 3 Char1"/>
    <w:link w:val="4"/>
    <w:qFormat/>
    <w:uiPriority w:val="9"/>
    <w:rPr>
      <w:rFonts w:ascii="Arial" w:hAnsi="Arial" w:eastAsia="Arial" w:cs="Arial"/>
      <w:sz w:val="30"/>
      <w:szCs w:val="30"/>
    </w:rPr>
  </w:style>
  <w:style w:type="character" w:customStyle="1" w:styleId="93">
    <w:name w:val="标题 4 Char"/>
    <w:link w:val="5"/>
    <w:qFormat/>
    <w:uiPriority w:val="9"/>
    <w:rPr>
      <w:rFonts w:ascii="Arial" w:hAnsi="Arial" w:eastAsia="Arial" w:cs="Arial"/>
      <w:b/>
      <w:bCs/>
      <w:sz w:val="26"/>
      <w:szCs w:val="26"/>
    </w:rPr>
  </w:style>
  <w:style w:type="character" w:customStyle="1" w:styleId="94">
    <w:name w:val="标题 5 Char"/>
    <w:link w:val="6"/>
    <w:qFormat/>
    <w:uiPriority w:val="9"/>
    <w:rPr>
      <w:rFonts w:ascii="Arial" w:hAnsi="Arial" w:eastAsia="Arial" w:cs="Arial"/>
      <w:b/>
      <w:bCs/>
      <w:sz w:val="24"/>
      <w:szCs w:val="24"/>
    </w:rPr>
  </w:style>
  <w:style w:type="character" w:customStyle="1" w:styleId="95">
    <w:name w:val="标题 6 Char"/>
    <w:link w:val="7"/>
    <w:qFormat/>
    <w:uiPriority w:val="9"/>
    <w:rPr>
      <w:rFonts w:ascii="Arial" w:hAnsi="Arial" w:eastAsia="Arial" w:cs="Arial"/>
      <w:b/>
      <w:bCs/>
      <w:sz w:val="22"/>
      <w:szCs w:val="22"/>
    </w:rPr>
  </w:style>
  <w:style w:type="character" w:customStyle="1" w:styleId="96">
    <w:name w:val="标题 7 Char"/>
    <w:link w:val="8"/>
    <w:qFormat/>
    <w:uiPriority w:val="9"/>
    <w:rPr>
      <w:rFonts w:ascii="Arial" w:hAnsi="Arial" w:eastAsia="Arial" w:cs="Arial"/>
      <w:b/>
      <w:bCs/>
      <w:i/>
      <w:iCs/>
      <w:sz w:val="22"/>
      <w:szCs w:val="22"/>
    </w:rPr>
  </w:style>
  <w:style w:type="character" w:customStyle="1" w:styleId="97">
    <w:name w:val="标题 8 Char"/>
    <w:link w:val="9"/>
    <w:qFormat/>
    <w:uiPriority w:val="9"/>
    <w:rPr>
      <w:rFonts w:ascii="Arial" w:hAnsi="Arial" w:eastAsia="Arial" w:cs="Arial"/>
      <w:i/>
      <w:iCs/>
      <w:sz w:val="22"/>
      <w:szCs w:val="22"/>
    </w:rPr>
  </w:style>
  <w:style w:type="character" w:customStyle="1" w:styleId="98">
    <w:name w:val="标题 9 Char"/>
    <w:link w:val="10"/>
    <w:qFormat/>
    <w:uiPriority w:val="9"/>
    <w:rPr>
      <w:rFonts w:ascii="Arial" w:hAnsi="Arial" w:eastAsia="Arial" w:cs="Arial"/>
      <w:i/>
      <w:iCs/>
      <w:sz w:val="21"/>
      <w:szCs w:val="21"/>
    </w:rPr>
  </w:style>
  <w:style w:type="paragraph" w:styleId="99">
    <w:name w:val="List Paragraph"/>
    <w:basedOn w:val="1"/>
    <w:qFormat/>
    <w:uiPriority w:val="34"/>
    <w:pPr>
      <w:ind w:left="720"/>
      <w:contextualSpacing/>
    </w:pPr>
  </w:style>
  <w:style w:type="paragraph" w:styleId="100">
    <w:name w:val="No Spacing"/>
    <w:qFormat/>
    <w:uiPriority w:val="1"/>
    <w:rPr>
      <w:rFonts w:hint="default" w:ascii="Times New Roman" w:hAnsi="Times New Roman" w:eastAsia="宋体" w:cs="Times New Roman"/>
      <w:lang w:val="en-US" w:eastAsia="zh-CN" w:bidi="ar-SA"/>
    </w:rPr>
  </w:style>
  <w:style w:type="character" w:customStyle="1" w:styleId="101">
    <w:name w:val="标题 Char1"/>
    <w:link w:val="36"/>
    <w:qFormat/>
    <w:uiPriority w:val="10"/>
    <w:rPr>
      <w:sz w:val="48"/>
      <w:szCs w:val="48"/>
    </w:rPr>
  </w:style>
  <w:style w:type="character" w:customStyle="1" w:styleId="102">
    <w:name w:val="副标题 Char"/>
    <w:link w:val="29"/>
    <w:qFormat/>
    <w:uiPriority w:val="11"/>
    <w:rPr>
      <w:sz w:val="24"/>
      <w:szCs w:val="24"/>
    </w:rPr>
  </w:style>
  <w:style w:type="paragraph" w:styleId="103">
    <w:name w:val="Quote"/>
    <w:basedOn w:val="1"/>
    <w:next w:val="1"/>
    <w:link w:val="104"/>
    <w:qFormat/>
    <w:uiPriority w:val="29"/>
    <w:pPr>
      <w:ind w:left="720" w:right="720"/>
    </w:pPr>
    <w:rPr>
      <w:i/>
    </w:rPr>
  </w:style>
  <w:style w:type="character" w:customStyle="1" w:styleId="104">
    <w:name w:val="引用 Char"/>
    <w:link w:val="103"/>
    <w:qFormat/>
    <w:uiPriority w:val="29"/>
    <w:rPr>
      <w:i/>
    </w:rPr>
  </w:style>
  <w:style w:type="paragraph" w:styleId="105">
    <w:name w:val="Intense Quote"/>
    <w:basedOn w:val="1"/>
    <w:next w:val="1"/>
    <w:link w:val="10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6">
    <w:name w:val="明显引用 Char"/>
    <w:link w:val="105"/>
    <w:qFormat/>
    <w:uiPriority w:val="30"/>
    <w:rPr>
      <w:i/>
    </w:rPr>
  </w:style>
  <w:style w:type="character" w:customStyle="1" w:styleId="107">
    <w:name w:val="页眉 Char1"/>
    <w:link w:val="26"/>
    <w:qFormat/>
    <w:uiPriority w:val="99"/>
  </w:style>
  <w:style w:type="character" w:customStyle="1" w:styleId="108">
    <w:name w:val="Footer Char_e02bf485-657a-4930-acda-02e67e59ed32"/>
    <w:qFormat/>
    <w:uiPriority w:val="99"/>
  </w:style>
  <w:style w:type="character" w:customStyle="1" w:styleId="109">
    <w:name w:val="页脚 Char1"/>
    <w:link w:val="24"/>
    <w:qFormat/>
    <w:uiPriority w:val="99"/>
  </w:style>
  <w:style w:type="table" w:customStyle="1" w:styleId="110">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11">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112">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113">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4">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5">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16">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117">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18">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19">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20">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21">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22">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123">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4">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25">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26">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27">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28">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29">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30">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31">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32">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33">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34">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35">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36">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37">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38">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139">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40">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41">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42">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43">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44">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45">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146">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147">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148">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149">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50">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51">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52">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53">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b/>
        <w:color w:val="DA9796"/>
      </w:rPr>
      <w:tcPr>
        <w:tcBorders>
          <w:bottom w:val="single" w:color="D99695" w:sz="12" w:space="0"/>
        </w:tcBorders>
      </w:tcPr>
    </w:tblStylePr>
    <w:tblStylePr w:type="lastRow">
      <w:rPr>
        <w:b/>
        <w:color w:val="DA9796"/>
      </w:rPr>
    </w:tblStylePr>
    <w:tblStylePr w:type="firstCol">
      <w:rPr>
        <w:b/>
        <w:color w:val="DA9796"/>
      </w:rPr>
    </w:tblStylePr>
    <w:tblStylePr w:type="lastCol">
      <w:rPr>
        <w:b/>
        <w:color w:val="DA9796"/>
      </w:r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54">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b/>
        <w:color w:val="9BBB59"/>
      </w:rPr>
      <w:tcPr>
        <w:tcBorders>
          <w:bottom w:val="single" w:color="9ABB59" w:sz="12" w:space="0"/>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55">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b/>
        <w:color w:val="B2A1C7"/>
      </w:rPr>
      <w:tcPr>
        <w:tcBorders>
          <w:bottom w:val="single" w:color="B2A1C6" w:sz="12" w:space="0"/>
        </w:tcBorders>
      </w:tcPr>
    </w:tblStylePr>
    <w:tblStylePr w:type="lastRow">
      <w:rPr>
        <w:b/>
        <w:color w:val="B2A1C7"/>
      </w:rPr>
    </w:tblStylePr>
    <w:tblStylePr w:type="firstCol">
      <w:rPr>
        <w:b/>
        <w:color w:val="B2A1C7"/>
      </w:rPr>
    </w:tblStylePr>
    <w:tblStylePr w:type="lastCol">
      <w:rPr>
        <w:b/>
        <w:color w:val="B2A1C7"/>
      </w:r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56">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tblStylePr w:type="firstRow">
      <w:rPr>
        <w:b/>
        <w:color w:val="266678"/>
      </w:rPr>
      <w:tcPr>
        <w:tcBorders>
          <w:bottom w:val="single" w:color="4BACC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57">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tblStylePr w:type="firstRow">
      <w:rPr>
        <w:b/>
        <w:color w:val="266678"/>
      </w:rPr>
      <w:tcPr>
        <w:tcBorders>
          <w:bottom w:val="single" w:color="F79646" w:sz="12" w:space="0"/>
        </w:tcBorders>
      </w:tcPr>
    </w:tblStylePr>
    <w:tblStylePr w:type="lastRow">
      <w:rPr>
        <w:b/>
        <w:color w:val="266678"/>
      </w:rPr>
    </w:tblStylePr>
    <w:tblStylePr w:type="firstCol">
      <w:rPr>
        <w:b/>
        <w:color w:val="266678"/>
      </w:rPr>
    </w:tblStylePr>
    <w:tblStylePr w:type="lastCol">
      <w:rPr>
        <w:b/>
        <w:color w:val="266678"/>
      </w:rPr>
    </w:tblStylePr>
    <w:tblStylePr w:type="band1Vert">
      <w:tcPr>
        <w:shd w:val="clear" w:color="FDE9D8" w:fill="FDE9D8"/>
      </w:tcPr>
    </w:tblStylePr>
    <w:tblStylePr w:type="band1Horz">
      <w:rPr>
        <w:rFonts w:ascii="Arial" w:hAnsi="Arial"/>
        <w:color w:val="266678"/>
        <w:sz w:val="22"/>
      </w:rPr>
      <w:tcPr>
        <w:shd w:val="clear" w:color="FDE9D8" w:fill="FDE9D8"/>
      </w:tcPr>
    </w:tblStylePr>
    <w:tblStylePr w:type="band2Horz">
      <w:rPr>
        <w:rFonts w:ascii="Arial" w:hAnsi="Arial"/>
        <w:color w:val="266678"/>
        <w:sz w:val="22"/>
      </w:rPr>
    </w:tblStylePr>
  </w:style>
  <w:style w:type="table" w:customStyle="1" w:styleId="158">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59">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60">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tblStylePr w:type="firstRow">
      <w:rPr>
        <w:rFonts w:ascii="Arial" w:hAnsi="Arial"/>
        <w:b/>
        <w:color w:val="DA9796"/>
        <w:sz w:val="22"/>
      </w:rPr>
      <w:tcPr>
        <w:tcBorders>
          <w:top w:val="nil"/>
          <w:left w:val="nil"/>
          <w:bottom w:val="single" w:color="D99695" w:sz="4" w:space="0"/>
          <w:right w:val="nil"/>
        </w:tcBorders>
        <w:shd w:val="clear" w:color="FFFFFF" w:fill="FFFFFF"/>
      </w:tcPr>
    </w:tblStylePr>
    <w:tblStylePr w:type="lastRow">
      <w:rPr>
        <w:rFonts w:ascii="Arial" w:hAnsi="Arial"/>
        <w:b/>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A9796"/>
        <w:sz w:val="22"/>
      </w:rPr>
      <w:tcPr>
        <w:shd w:val="clear" w:color="F2DCDC" w:fill="F2DCDC"/>
      </w:tcPr>
    </w:tblStylePr>
    <w:tblStylePr w:type="band2Horz">
      <w:rPr>
        <w:rFonts w:ascii="Arial" w:hAnsi="Arial"/>
        <w:color w:val="DA9796"/>
        <w:sz w:val="22"/>
      </w:rPr>
    </w:tblStylePr>
  </w:style>
  <w:style w:type="table" w:customStyle="1" w:styleId="161">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tblStylePr w:type="firstRow">
      <w:rPr>
        <w:rFonts w:ascii="Arial" w:hAnsi="Arial"/>
        <w:b/>
        <w:color w:val="9BBB59"/>
        <w:sz w:val="22"/>
      </w:rPr>
      <w:tcPr>
        <w:tcBorders>
          <w:top w:val="nil"/>
          <w:left w:val="nil"/>
          <w:bottom w:val="single" w:color="9ABB59" w:sz="4" w:space="0"/>
          <w:right w:val="nil"/>
        </w:tcBorders>
        <w:shd w:val="clear" w:color="FFFFFF" w:fill="FFFFFF"/>
      </w:tcPr>
    </w:tblStylePr>
    <w:tblStylePr w:type="lastRow">
      <w:rPr>
        <w:rFonts w:ascii="Arial" w:hAnsi="Arial"/>
        <w:b/>
        <w:color w:val="9B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BBB59"/>
        <w:sz w:val="22"/>
      </w:rPr>
      <w:tcPr>
        <w:tcBorders>
          <w:top w:val="nil"/>
          <w:left w:val="nil"/>
          <w:bottom w:val="nil"/>
          <w:right w:val="single" w:color="9ABB59" w:sz="4" w:space="0"/>
        </w:tcBorders>
        <w:shd w:val="clear" w:color="FFFFFF" w:fill="auto"/>
      </w:tcPr>
    </w:tblStylePr>
    <w:tblStylePr w:type="lastCol">
      <w:rPr>
        <w:rFonts w:ascii="Arial" w:hAnsi="Arial"/>
        <w:i/>
        <w:color w:val="9B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BBB59"/>
        <w:sz w:val="22"/>
      </w:rPr>
      <w:tcPr>
        <w:shd w:val="clear" w:color="EAF1DC" w:fill="EAF1DC"/>
      </w:tcPr>
    </w:tblStylePr>
    <w:tblStylePr w:type="band2Horz">
      <w:rPr>
        <w:rFonts w:ascii="Arial" w:hAnsi="Arial"/>
        <w:color w:val="9BBB59"/>
        <w:sz w:val="22"/>
      </w:rPr>
    </w:tblStylePr>
  </w:style>
  <w:style w:type="table" w:customStyle="1" w:styleId="162">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tblStylePr w:type="firstRow">
      <w:rPr>
        <w:rFonts w:ascii="Arial" w:hAnsi="Arial"/>
        <w:b/>
        <w:color w:val="B2A1C7"/>
        <w:sz w:val="22"/>
      </w:rPr>
      <w:tcPr>
        <w:tcBorders>
          <w:top w:val="nil"/>
          <w:left w:val="nil"/>
          <w:bottom w:val="single" w:color="B2A1C6" w:sz="4" w:space="0"/>
          <w:right w:val="nil"/>
        </w:tcBorders>
        <w:shd w:val="clear" w:color="FFFFFF" w:fill="FFFFFF"/>
      </w:tcPr>
    </w:tblStylePr>
    <w:tblStylePr w:type="lastRow">
      <w:rPr>
        <w:rFonts w:ascii="Arial" w:hAnsi="Arial"/>
        <w:b/>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7"/>
        <w:sz w:val="22"/>
      </w:rPr>
      <w:tcPr>
        <w:shd w:val="clear" w:color="E5DFEC" w:fill="E5DFEC"/>
      </w:tcPr>
    </w:tblStylePr>
    <w:tblStylePr w:type="band2Horz">
      <w:rPr>
        <w:rFonts w:ascii="Arial" w:hAnsi="Arial"/>
        <w:color w:val="B2A1C7"/>
        <w:sz w:val="22"/>
      </w:rPr>
    </w:tblStylePr>
  </w:style>
  <w:style w:type="table" w:customStyle="1" w:styleId="163">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tblStylePr w:type="firstRow">
      <w:rPr>
        <w:rFonts w:ascii="Arial" w:hAnsi="Arial"/>
        <w:b/>
        <w:color w:val="266678"/>
        <w:sz w:val="22"/>
      </w:rPr>
      <w:tcPr>
        <w:tcBorders>
          <w:top w:val="nil"/>
          <w:left w:val="nil"/>
          <w:bottom w:val="single" w:color="99D0DE" w:sz="4" w:space="0"/>
          <w:right w:val="nil"/>
        </w:tcBorders>
        <w:shd w:val="clear" w:color="FFFFFF" w:fill="FFFFFF"/>
      </w:tcPr>
    </w:tblStylePr>
    <w:tblStylePr w:type="lastRow">
      <w:rPr>
        <w:rFonts w:ascii="Arial" w:hAnsi="Arial"/>
        <w:b/>
        <w:color w:val="266678"/>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678"/>
        <w:sz w:val="22"/>
      </w:rPr>
      <w:tcPr>
        <w:tcBorders>
          <w:top w:val="nil"/>
          <w:left w:val="nil"/>
          <w:bottom w:val="nil"/>
          <w:right w:val="single" w:color="99D0DE" w:sz="4" w:space="0"/>
        </w:tcBorders>
        <w:shd w:val="clear" w:color="FFFFFF" w:fill="auto"/>
      </w:tcPr>
    </w:tblStylePr>
    <w:tblStylePr w:type="lastCol">
      <w:rPr>
        <w:rFonts w:ascii="Arial" w:hAnsi="Arial"/>
        <w:i/>
        <w:color w:val="266678"/>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678"/>
        <w:sz w:val="22"/>
      </w:rPr>
      <w:tcPr>
        <w:shd w:val="clear" w:color="DAEEF3" w:fill="DAEEF3"/>
      </w:tcPr>
    </w:tblStylePr>
    <w:tblStylePr w:type="band2Horz">
      <w:rPr>
        <w:rFonts w:ascii="Arial" w:hAnsi="Arial"/>
        <w:color w:val="266678"/>
        <w:sz w:val="22"/>
      </w:rPr>
    </w:tblStylePr>
  </w:style>
  <w:style w:type="table" w:customStyle="1" w:styleId="164">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tblStylePr w:type="firstRow">
      <w:rPr>
        <w:rFonts w:ascii="Arial" w:hAnsi="Arial"/>
        <w:b/>
        <w:color w:val="B05307"/>
        <w:sz w:val="22"/>
      </w:rPr>
      <w:tcPr>
        <w:tcBorders>
          <w:top w:val="nil"/>
          <w:left w:val="nil"/>
          <w:bottom w:val="single" w:color="FAC396" w:sz="4" w:space="0"/>
          <w:right w:val="nil"/>
        </w:tcBorders>
        <w:shd w:val="clear" w:color="FFFFFF" w:fill="FFFFFF"/>
      </w:tcPr>
    </w:tblStylePr>
    <w:tblStylePr w:type="lastRow">
      <w:rPr>
        <w:rFonts w:ascii="Arial" w:hAnsi="Arial"/>
        <w:b/>
        <w:color w:val="B053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05307"/>
        <w:sz w:val="22"/>
      </w:rPr>
      <w:tcPr>
        <w:tcBorders>
          <w:top w:val="nil"/>
          <w:left w:val="nil"/>
          <w:bottom w:val="nil"/>
          <w:right w:val="single" w:color="FAC396" w:sz="4" w:space="0"/>
        </w:tcBorders>
        <w:shd w:val="clear" w:color="FFFFFF" w:fill="auto"/>
      </w:tcPr>
    </w:tblStylePr>
    <w:tblStylePr w:type="lastCol">
      <w:rPr>
        <w:rFonts w:ascii="Arial" w:hAnsi="Arial"/>
        <w:i/>
        <w:color w:val="B053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05307"/>
        <w:sz w:val="22"/>
      </w:rPr>
      <w:tcPr>
        <w:shd w:val="clear" w:color="FDE9D8" w:fill="FDE9D8"/>
      </w:tcPr>
    </w:tblStylePr>
    <w:tblStylePr w:type="band2Horz">
      <w:rPr>
        <w:rFonts w:ascii="Arial" w:hAnsi="Arial"/>
        <w:color w:val="B05307"/>
        <w:sz w:val="22"/>
      </w:rPr>
    </w:tblStylePr>
  </w:style>
  <w:style w:type="table" w:customStyle="1" w:styleId="165">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66">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67">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68">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69">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70">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71">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72">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73">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74">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75">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76">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77">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78">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79">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80">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81">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82">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83">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84">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85">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86">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87">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88">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89">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90">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91">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92">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93">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94">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95">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96">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97">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98">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99">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200">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201">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tblStylePr w:type="firstRow">
      <w:rPr>
        <w:b/>
        <w:color w:val="2A4A70"/>
      </w:rPr>
      <w:tcPr>
        <w:tcBorders>
          <w:bottom w:val="single" w:color="4F81BD" w:sz="4" w:space="0"/>
        </w:tcBorders>
      </w:tcPr>
    </w:tblStylePr>
    <w:tblStylePr w:type="lastRow">
      <w:rPr>
        <w:b/>
        <w:color w:val="2A4A70"/>
      </w:rPr>
      <w:tcPr>
        <w:tcBorders>
          <w:top w:val="single" w:color="4F81BD" w:sz="4" w:space="0"/>
        </w:tcBorders>
      </w:tcPr>
    </w:tblStylePr>
    <w:tblStylePr w:type="firstCol">
      <w:rPr>
        <w:b/>
        <w:color w:val="2A4A70"/>
      </w:rPr>
    </w:tblStylePr>
    <w:tblStylePr w:type="lastCol">
      <w:rPr>
        <w:b/>
        <w:color w:val="2A4A70"/>
      </w:r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02">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tblStylePr w:type="firstRow">
      <w:rPr>
        <w:b/>
        <w:color w:val="DA9796"/>
      </w:rPr>
      <w:tcPr>
        <w:tcBorders>
          <w:bottom w:val="single" w:color="D99695" w:sz="4" w:space="0"/>
        </w:tcBorders>
      </w:tcPr>
    </w:tblStylePr>
    <w:tblStylePr w:type="lastRow">
      <w:rPr>
        <w:b/>
        <w:color w:val="DA9796"/>
      </w:rPr>
      <w:tcPr>
        <w:tcBorders>
          <w:top w:val="single" w:color="D99695" w:sz="4" w:space="0"/>
        </w:tcBorders>
      </w:tcPr>
    </w:tblStylePr>
    <w:tblStylePr w:type="firstCol">
      <w:rPr>
        <w:b/>
        <w:color w:val="DA9796"/>
      </w:rPr>
    </w:tblStylePr>
    <w:tblStylePr w:type="lastCol">
      <w:rPr>
        <w:b/>
        <w:color w:val="DA9796"/>
      </w:r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203">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tblStylePr w:type="firstRow">
      <w:rPr>
        <w:b/>
        <w:color w:val="C2D69B"/>
      </w:rPr>
      <w:tcPr>
        <w:tcBorders>
          <w:bottom w:val="single" w:color="C3D69B" w:sz="4" w:space="0"/>
        </w:tcBorders>
      </w:tcPr>
    </w:tblStylePr>
    <w:tblStylePr w:type="lastRow">
      <w:rPr>
        <w:b/>
        <w:color w:val="C2D69B"/>
      </w:rPr>
      <w:tcPr>
        <w:tcBorders>
          <w:top w:val="single" w:color="C3D69B" w:sz="4" w:space="0"/>
        </w:tcBorders>
      </w:tcPr>
    </w:tblStylePr>
    <w:tblStylePr w:type="firstCol">
      <w:rPr>
        <w:b/>
        <w:color w:val="C2D69B"/>
      </w:rPr>
    </w:tblStylePr>
    <w:tblStylePr w:type="lastCol">
      <w:rPr>
        <w:b/>
        <w:color w:val="C2D69B"/>
      </w:r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204">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tblStylePr w:type="firstRow">
      <w:rPr>
        <w:b/>
        <w:color w:val="B2A1C7"/>
      </w:rPr>
      <w:tcPr>
        <w:tcBorders>
          <w:bottom w:val="single" w:color="B2A1C6" w:sz="4" w:space="0"/>
        </w:tcBorders>
      </w:tcPr>
    </w:tblStylePr>
    <w:tblStylePr w:type="lastRow">
      <w:rPr>
        <w:b/>
        <w:color w:val="B2A1C7"/>
      </w:rPr>
      <w:tcPr>
        <w:tcBorders>
          <w:top w:val="single" w:color="B2A1C6" w:sz="4" w:space="0"/>
        </w:tcBorders>
      </w:tcPr>
    </w:tblStylePr>
    <w:tblStylePr w:type="firstCol">
      <w:rPr>
        <w:b/>
        <w:color w:val="B2A1C7"/>
      </w:rPr>
    </w:tblStylePr>
    <w:tblStylePr w:type="lastCol">
      <w:rPr>
        <w:b/>
        <w:color w:val="B2A1C7"/>
      </w:r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205">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tblStylePr w:type="firstRow">
      <w:rPr>
        <w:b/>
        <w:color w:val="92CDDC"/>
      </w:rPr>
      <w:tcPr>
        <w:tcBorders>
          <w:bottom w:val="single" w:color="92CCDC" w:sz="4" w:space="0"/>
        </w:tcBorders>
      </w:tcPr>
    </w:tblStylePr>
    <w:tblStylePr w:type="lastRow">
      <w:rPr>
        <w:b/>
        <w:color w:val="92CDDC"/>
      </w:rPr>
      <w:tcPr>
        <w:tcBorders>
          <w:top w:val="single" w:color="92CCDC" w:sz="4" w:space="0"/>
        </w:tcBorders>
      </w:tcPr>
    </w:tblStylePr>
    <w:tblStylePr w:type="firstCol">
      <w:rPr>
        <w:b/>
        <w:color w:val="92CDDC"/>
      </w:rPr>
    </w:tblStylePr>
    <w:tblStylePr w:type="lastCol">
      <w:rPr>
        <w:b/>
        <w:color w:val="92CDDC"/>
      </w:r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206">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tblStylePr w:type="firstRow">
      <w:rPr>
        <w:b/>
        <w:color w:val="FABF8F"/>
      </w:rPr>
      <w:tcPr>
        <w:tcBorders>
          <w:bottom w:val="single" w:color="FAC090" w:sz="4" w:space="0"/>
        </w:tcBorders>
      </w:tcPr>
    </w:tblStylePr>
    <w:tblStylePr w:type="lastRow">
      <w:rPr>
        <w:b/>
        <w:color w:val="FABF8F"/>
      </w:rPr>
      <w:tcPr>
        <w:tcBorders>
          <w:top w:val="single" w:color="FAC090" w:sz="4" w:space="0"/>
        </w:tcBorders>
      </w:tcPr>
    </w:tblStylePr>
    <w:tblStylePr w:type="firstCol">
      <w:rPr>
        <w:b/>
        <w:color w:val="FABF8F"/>
      </w:rPr>
    </w:tblStylePr>
    <w:tblStylePr w:type="lastCol">
      <w:rPr>
        <w:b/>
        <w:color w:val="FABF8F"/>
      </w:r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207">
    <w:name w:val="清单表 7 彩色1"/>
    <w:qFormat/>
    <w:uiPriority w:val="99"/>
    <w:tblPr>
      <w:tblBorders>
        <w:right w:val="single" w:color="7F7F7F" w:sz="4" w:space="0"/>
      </w:tblBorders>
      <w:tblCellMar>
        <w:top w:w="0" w:type="dxa"/>
        <w:left w:w="0" w:type="dxa"/>
        <w:bottom w:w="0" w:type="dxa"/>
        <w:right w:w="0" w:type="dxa"/>
      </w:tblCellMar>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208">
    <w:name w:val="List Table 7 Colorful - Accent 1"/>
    <w:qFormat/>
    <w:uiPriority w:val="99"/>
    <w:tblPr>
      <w:tblBorders>
        <w:right w:val="single" w:color="4F81BD" w:sz="4" w:space="0"/>
      </w:tblBorders>
      <w:tblCellMar>
        <w:top w:w="0" w:type="dxa"/>
        <w:left w:w="0" w:type="dxa"/>
        <w:bottom w:w="0" w:type="dxa"/>
        <w:right w:w="0" w:type="dxa"/>
      </w:tblCellMar>
    </w:tblPr>
    <w:tblStylePr w:type="firstRow">
      <w:rPr>
        <w:rFonts w:ascii="Arial" w:hAnsi="Arial"/>
        <w:i/>
        <w:color w:val="2A4A70"/>
        <w:sz w:val="22"/>
      </w:rPr>
      <w:tcPr>
        <w:tcBorders>
          <w:top w:val="nil"/>
          <w:left w:val="nil"/>
          <w:bottom w:val="single" w:color="4F81BD" w:sz="4" w:space="0"/>
          <w:right w:val="nil"/>
        </w:tcBorders>
        <w:shd w:val="clear" w:color="FFFFFF" w:fill="FFFFFF"/>
      </w:tcPr>
    </w:tblStylePr>
    <w:tblStylePr w:type="lastRow">
      <w:rPr>
        <w:rFonts w:ascii="Arial" w:hAnsi="Arial"/>
        <w:i/>
        <w:color w:val="2A4A70"/>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0"/>
        <w:sz w:val="22"/>
      </w:rPr>
      <w:tcPr>
        <w:tcBorders>
          <w:top w:val="nil"/>
          <w:left w:val="nil"/>
          <w:bottom w:val="nil"/>
          <w:right w:val="single" w:color="4F81BD" w:sz="4" w:space="0"/>
        </w:tcBorders>
        <w:shd w:val="clear" w:color="FFFFFF" w:fill="auto"/>
      </w:tcPr>
    </w:tblStylePr>
    <w:tblStylePr w:type="lastCol">
      <w:rPr>
        <w:rFonts w:ascii="Arial" w:hAnsi="Arial"/>
        <w:i/>
        <w:color w:val="2A4A70"/>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0"/>
        <w:sz w:val="22"/>
      </w:rPr>
      <w:tcPr>
        <w:shd w:val="clear" w:color="D2DFEE" w:fill="D2DFEE"/>
      </w:tcPr>
    </w:tblStylePr>
    <w:tblStylePr w:type="band2Horz">
      <w:rPr>
        <w:rFonts w:ascii="Arial" w:hAnsi="Arial"/>
        <w:color w:val="2A4A70"/>
        <w:sz w:val="22"/>
      </w:rPr>
    </w:tblStylePr>
  </w:style>
  <w:style w:type="table" w:customStyle="1" w:styleId="209">
    <w:name w:val="List Table 7 Colorful - Accent 2"/>
    <w:qFormat/>
    <w:uiPriority w:val="99"/>
    <w:tblPr>
      <w:tblBorders>
        <w:right w:val="single" w:color="D99695" w:sz="4" w:space="0"/>
      </w:tblBorders>
      <w:tblCellMar>
        <w:top w:w="0" w:type="dxa"/>
        <w:left w:w="0" w:type="dxa"/>
        <w:bottom w:w="0" w:type="dxa"/>
        <w:right w:w="0" w:type="dxa"/>
      </w:tblCellMar>
    </w:tblPr>
    <w:tblStylePr w:type="firstRow">
      <w:rPr>
        <w:rFonts w:ascii="Arial" w:hAnsi="Arial"/>
        <w:i/>
        <w:color w:val="DA9796"/>
        <w:sz w:val="22"/>
      </w:rPr>
      <w:tcPr>
        <w:tcBorders>
          <w:top w:val="nil"/>
          <w:left w:val="nil"/>
          <w:bottom w:val="single" w:color="D99695" w:sz="4" w:space="0"/>
          <w:right w:val="nil"/>
        </w:tcBorders>
        <w:shd w:val="clear" w:color="FFFFFF" w:fill="FFFFFF"/>
      </w:tcPr>
    </w:tblStylePr>
    <w:tblStylePr w:type="lastRow">
      <w:rPr>
        <w:rFonts w:ascii="Arial" w:hAnsi="Arial"/>
        <w:i/>
        <w:color w:val="DA9796"/>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A9796"/>
        <w:sz w:val="22"/>
      </w:rPr>
      <w:tcPr>
        <w:tcBorders>
          <w:top w:val="nil"/>
          <w:left w:val="nil"/>
          <w:bottom w:val="nil"/>
          <w:right w:val="single" w:color="D99695" w:sz="4" w:space="0"/>
        </w:tcBorders>
        <w:shd w:val="clear" w:color="FFFFFF" w:fill="auto"/>
      </w:tcPr>
    </w:tblStylePr>
    <w:tblStylePr w:type="lastCol">
      <w:rPr>
        <w:rFonts w:ascii="Arial" w:hAnsi="Arial"/>
        <w:i/>
        <w:color w:val="DA9796"/>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A9796"/>
        <w:sz w:val="22"/>
      </w:rPr>
      <w:tcPr>
        <w:shd w:val="clear" w:color="EFD2D2" w:fill="EFD2D2"/>
      </w:tcPr>
    </w:tblStylePr>
    <w:tblStylePr w:type="band2Horz">
      <w:rPr>
        <w:rFonts w:ascii="Arial" w:hAnsi="Arial"/>
        <w:color w:val="DA9796"/>
        <w:sz w:val="22"/>
      </w:rPr>
    </w:tblStylePr>
  </w:style>
  <w:style w:type="table" w:customStyle="1" w:styleId="210">
    <w:name w:val="List Table 7 Colorful - Accent 3"/>
    <w:qFormat/>
    <w:uiPriority w:val="99"/>
    <w:tblPr>
      <w:tblBorders>
        <w:right w:val="single" w:color="C3D69B" w:sz="4" w:space="0"/>
      </w:tblBorders>
      <w:tblCellMar>
        <w:top w:w="0" w:type="dxa"/>
        <w:left w:w="0" w:type="dxa"/>
        <w:bottom w:w="0" w:type="dxa"/>
        <w:right w:w="0" w:type="dxa"/>
      </w:tblCellMar>
    </w:tblPr>
    <w:tblStylePr w:type="firstRow">
      <w:rPr>
        <w:rFonts w:ascii="Arial" w:hAnsi="Arial"/>
        <w:i/>
        <w:color w:val="C2D69B"/>
        <w:sz w:val="22"/>
      </w:rPr>
      <w:tcPr>
        <w:tcBorders>
          <w:top w:val="nil"/>
          <w:left w:val="nil"/>
          <w:bottom w:val="single" w:color="C3D69B" w:sz="4" w:space="0"/>
          <w:right w:val="nil"/>
        </w:tcBorders>
        <w:shd w:val="clear" w:color="FFFFFF" w:fill="FFFFFF"/>
      </w:tcPr>
    </w:tblStylePr>
    <w:tblStylePr w:type="lastRow">
      <w:rPr>
        <w:rFonts w:ascii="Arial" w:hAnsi="Arial"/>
        <w:i/>
        <w:color w:val="C2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2D69B"/>
        <w:sz w:val="22"/>
      </w:rPr>
      <w:tcPr>
        <w:tcBorders>
          <w:top w:val="nil"/>
          <w:left w:val="nil"/>
          <w:bottom w:val="nil"/>
          <w:right w:val="single" w:color="C3D69B" w:sz="4" w:space="0"/>
        </w:tcBorders>
        <w:shd w:val="clear" w:color="FFFFFF" w:fill="auto"/>
      </w:tcPr>
    </w:tblStylePr>
    <w:tblStylePr w:type="lastCol">
      <w:rPr>
        <w:rFonts w:ascii="Arial" w:hAnsi="Arial"/>
        <w:i/>
        <w:color w:val="C2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2D69B"/>
        <w:sz w:val="22"/>
      </w:rPr>
      <w:tcPr>
        <w:shd w:val="clear" w:color="E5EED5" w:fill="E5EED5"/>
      </w:tcPr>
    </w:tblStylePr>
    <w:tblStylePr w:type="band2Horz">
      <w:rPr>
        <w:rFonts w:ascii="Arial" w:hAnsi="Arial"/>
        <w:color w:val="C2D69B"/>
        <w:sz w:val="22"/>
      </w:rPr>
    </w:tblStylePr>
  </w:style>
  <w:style w:type="table" w:customStyle="1" w:styleId="211">
    <w:name w:val="List Table 7 Colorful - Accent 4"/>
    <w:qFormat/>
    <w:uiPriority w:val="99"/>
    <w:tblPr>
      <w:tblBorders>
        <w:right w:val="single" w:color="B2A1C6" w:sz="4" w:space="0"/>
      </w:tblBorders>
      <w:tblCellMar>
        <w:top w:w="0" w:type="dxa"/>
        <w:left w:w="0" w:type="dxa"/>
        <w:bottom w:w="0" w:type="dxa"/>
        <w:right w:w="0" w:type="dxa"/>
      </w:tblCellMar>
    </w:tblPr>
    <w:tblStylePr w:type="firstRow">
      <w:rPr>
        <w:rFonts w:ascii="Arial" w:hAnsi="Arial"/>
        <w:i/>
        <w:color w:val="B2A1C7"/>
        <w:sz w:val="22"/>
      </w:rPr>
      <w:tcPr>
        <w:tcBorders>
          <w:top w:val="nil"/>
          <w:left w:val="nil"/>
          <w:bottom w:val="single" w:color="B2A1C6" w:sz="4" w:space="0"/>
          <w:right w:val="nil"/>
        </w:tcBorders>
        <w:shd w:val="clear" w:color="FFFFFF" w:fill="FFFFFF"/>
      </w:tcPr>
    </w:tblStylePr>
    <w:tblStylePr w:type="lastRow">
      <w:rPr>
        <w:rFonts w:ascii="Arial" w:hAnsi="Arial"/>
        <w:i/>
        <w:color w:val="B2A1C7"/>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7"/>
        <w:sz w:val="22"/>
      </w:rPr>
      <w:tcPr>
        <w:tcBorders>
          <w:top w:val="nil"/>
          <w:left w:val="nil"/>
          <w:bottom w:val="nil"/>
          <w:right w:val="single" w:color="B2A1C6" w:sz="4" w:space="0"/>
        </w:tcBorders>
        <w:shd w:val="clear" w:color="FFFFFF" w:fill="auto"/>
      </w:tcPr>
    </w:tblStylePr>
    <w:tblStylePr w:type="lastCol">
      <w:rPr>
        <w:rFonts w:ascii="Arial" w:hAnsi="Arial"/>
        <w:i/>
        <w:color w:val="B2A1C7"/>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7"/>
        <w:sz w:val="22"/>
      </w:rPr>
      <w:tcPr>
        <w:shd w:val="clear" w:color="DFD8E7" w:fill="DFD8E7"/>
      </w:tcPr>
    </w:tblStylePr>
    <w:tblStylePr w:type="band2Horz">
      <w:rPr>
        <w:rFonts w:ascii="Arial" w:hAnsi="Arial"/>
        <w:color w:val="B2A1C7"/>
        <w:sz w:val="22"/>
      </w:rPr>
    </w:tblStylePr>
  </w:style>
  <w:style w:type="table" w:customStyle="1" w:styleId="212">
    <w:name w:val="List Table 7 Colorful - Accent 5"/>
    <w:qFormat/>
    <w:uiPriority w:val="99"/>
    <w:tblPr>
      <w:tblBorders>
        <w:right w:val="single" w:color="92CCDC" w:sz="4" w:space="0"/>
      </w:tblBorders>
      <w:tblCellMar>
        <w:top w:w="0" w:type="dxa"/>
        <w:left w:w="0" w:type="dxa"/>
        <w:bottom w:w="0" w:type="dxa"/>
        <w:right w:w="0" w:type="dxa"/>
      </w:tblCellMar>
    </w:tblPr>
    <w:tblStylePr w:type="firstRow">
      <w:rPr>
        <w:rFonts w:ascii="Arial" w:hAnsi="Arial"/>
        <w:i/>
        <w:color w:val="92CDDC"/>
        <w:sz w:val="22"/>
      </w:rPr>
      <w:tcPr>
        <w:tcBorders>
          <w:top w:val="nil"/>
          <w:left w:val="nil"/>
          <w:bottom w:val="single" w:color="92CCDC" w:sz="4" w:space="0"/>
          <w:right w:val="nil"/>
        </w:tcBorders>
        <w:shd w:val="clear" w:color="FFFFFF" w:fill="FFFFFF"/>
      </w:tcPr>
    </w:tblStylePr>
    <w:tblStylePr w:type="lastRow">
      <w:rPr>
        <w:rFonts w:ascii="Arial" w:hAnsi="Arial"/>
        <w:i/>
        <w:color w:val="92CD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DDC"/>
        <w:sz w:val="22"/>
      </w:rPr>
      <w:tcPr>
        <w:tcBorders>
          <w:top w:val="nil"/>
          <w:left w:val="nil"/>
          <w:bottom w:val="nil"/>
          <w:right w:val="single" w:color="92CCDC" w:sz="4" w:space="0"/>
        </w:tcBorders>
        <w:shd w:val="clear" w:color="FFFFFF" w:fill="auto"/>
      </w:tcPr>
    </w:tblStylePr>
    <w:tblStylePr w:type="lastCol">
      <w:rPr>
        <w:rFonts w:ascii="Arial" w:hAnsi="Arial"/>
        <w:i/>
        <w:color w:val="92CD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DDC"/>
        <w:sz w:val="22"/>
      </w:rPr>
      <w:tcPr>
        <w:shd w:val="clear" w:color="D1EAF0" w:fill="D1EAF0"/>
      </w:tcPr>
    </w:tblStylePr>
    <w:tblStylePr w:type="band2Horz">
      <w:rPr>
        <w:rFonts w:ascii="Arial" w:hAnsi="Arial"/>
        <w:color w:val="92CDDC"/>
        <w:sz w:val="22"/>
      </w:rPr>
    </w:tblStylePr>
  </w:style>
  <w:style w:type="table" w:customStyle="1" w:styleId="213">
    <w:name w:val="List Table 7 Colorful - Accent 6"/>
    <w:qFormat/>
    <w:uiPriority w:val="99"/>
    <w:tblPr>
      <w:tblBorders>
        <w:right w:val="single" w:color="FAC090" w:sz="4" w:space="0"/>
      </w:tblBorders>
      <w:tblCellMar>
        <w:top w:w="0" w:type="dxa"/>
        <w:left w:w="0" w:type="dxa"/>
        <w:bottom w:w="0" w:type="dxa"/>
        <w:right w:w="0" w:type="dxa"/>
      </w:tblCellMar>
    </w:tblPr>
    <w:tblStylePr w:type="firstRow">
      <w:rPr>
        <w:rFonts w:ascii="Arial" w:hAnsi="Arial"/>
        <w:i/>
        <w:color w:val="FABF8F"/>
        <w:sz w:val="22"/>
      </w:rPr>
      <w:tcPr>
        <w:tcBorders>
          <w:top w:val="nil"/>
          <w:left w:val="nil"/>
          <w:bottom w:val="single" w:color="FAC090" w:sz="4" w:space="0"/>
          <w:right w:val="nil"/>
        </w:tcBorders>
        <w:shd w:val="clear" w:color="FFFFFF" w:fill="FFFFFF"/>
      </w:tcPr>
    </w:tblStylePr>
    <w:tblStylePr w:type="lastRow">
      <w:rPr>
        <w:rFonts w:ascii="Arial" w:hAnsi="Arial"/>
        <w:i/>
        <w:color w:val="FABF8F"/>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BF8F"/>
        <w:sz w:val="22"/>
      </w:rPr>
      <w:tcPr>
        <w:tcBorders>
          <w:top w:val="nil"/>
          <w:left w:val="nil"/>
          <w:bottom w:val="nil"/>
          <w:right w:val="single" w:color="FAC090" w:sz="4" w:space="0"/>
        </w:tcBorders>
        <w:shd w:val="clear" w:color="FFFFFF" w:fill="auto"/>
      </w:tcPr>
    </w:tblStylePr>
    <w:tblStylePr w:type="lastCol">
      <w:rPr>
        <w:rFonts w:ascii="Arial" w:hAnsi="Arial"/>
        <w:i/>
        <w:color w:val="FABF8F"/>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BF8F"/>
        <w:sz w:val="22"/>
      </w:rPr>
      <w:tcPr>
        <w:shd w:val="clear" w:color="FDE4D0" w:fill="FDE4D0"/>
      </w:tcPr>
    </w:tblStylePr>
    <w:tblStylePr w:type="band2Horz">
      <w:rPr>
        <w:rFonts w:ascii="Arial" w:hAnsi="Arial"/>
        <w:color w:val="FABF8F"/>
        <w:sz w:val="22"/>
      </w:rPr>
    </w:tblStylePr>
  </w:style>
  <w:style w:type="table" w:customStyle="1" w:styleId="214">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15">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16">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17">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18">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19">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20">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21">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22">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223">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224">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225">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226">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227">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228">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229">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230">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231">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32">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33">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234">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235">
    <w:name w:val="脚注文本 Char"/>
    <w:link w:val="30"/>
    <w:qFormat/>
    <w:uiPriority w:val="99"/>
    <w:rPr>
      <w:sz w:val="18"/>
    </w:rPr>
  </w:style>
  <w:style w:type="character" w:customStyle="1" w:styleId="236">
    <w:name w:val="尾注文本 Char"/>
    <w:link w:val="22"/>
    <w:qFormat/>
    <w:uiPriority w:val="99"/>
    <w:rPr>
      <w:sz w:val="20"/>
    </w:rPr>
  </w:style>
  <w:style w:type="paragraph" w:customStyle="1" w:styleId="237">
    <w:name w:val="TOC 标题1"/>
    <w:qFormat/>
    <w:uiPriority w:val="39"/>
    <w:rPr>
      <w:rFonts w:hint="default" w:ascii="Times New Roman" w:hAnsi="Times New Roman" w:eastAsia="宋体" w:cs="Times New Roman"/>
      <w:lang w:val="en-US" w:eastAsia="zh-CN" w:bidi="ar-SA"/>
    </w:rPr>
  </w:style>
  <w:style w:type="paragraph" w:customStyle="1" w:styleId="238">
    <w:name w:val="标题 11"/>
    <w:basedOn w:val="1"/>
    <w:next w:val="1"/>
    <w:link w:val="251"/>
    <w:qFormat/>
    <w:uiPriority w:val="0"/>
    <w:pPr>
      <w:keepNext/>
      <w:keepLines/>
      <w:spacing w:before="240" w:after="120" w:line="300" w:lineRule="auto"/>
      <w:jc w:val="center"/>
      <w:outlineLvl w:val="0"/>
    </w:pPr>
    <w:rPr>
      <w:rFonts w:ascii="宋体"/>
      <w:b/>
      <w:sz w:val="32"/>
      <w:szCs w:val="20"/>
    </w:rPr>
  </w:style>
  <w:style w:type="paragraph" w:customStyle="1" w:styleId="239">
    <w:name w:val="标题 21"/>
    <w:basedOn w:val="1"/>
    <w:next w:val="1"/>
    <w:link w:val="252"/>
    <w:qFormat/>
    <w:uiPriority w:val="0"/>
    <w:pPr>
      <w:keepNext/>
      <w:keepLines/>
      <w:spacing w:before="120" w:line="300" w:lineRule="auto"/>
      <w:jc w:val="center"/>
      <w:outlineLvl w:val="1"/>
    </w:pPr>
    <w:rPr>
      <w:rFonts w:ascii="Arial" w:hAnsi="Arial" w:eastAsia="黑体"/>
      <w:b/>
      <w:sz w:val="30"/>
      <w:szCs w:val="20"/>
    </w:rPr>
  </w:style>
  <w:style w:type="paragraph" w:customStyle="1" w:styleId="240">
    <w:name w:val="标题 31"/>
    <w:basedOn w:val="1"/>
    <w:next w:val="1"/>
    <w:link w:val="253"/>
    <w:qFormat/>
    <w:uiPriority w:val="0"/>
    <w:pPr>
      <w:keepNext/>
      <w:keepLines/>
      <w:spacing w:before="360" w:after="120"/>
      <w:jc w:val="left"/>
      <w:outlineLvl w:val="2"/>
    </w:pPr>
    <w:rPr>
      <w:rFonts w:ascii="宋体"/>
      <w:b/>
      <w:sz w:val="24"/>
      <w:szCs w:val="20"/>
      <w:u w:val="single"/>
    </w:rPr>
  </w:style>
  <w:style w:type="paragraph" w:customStyle="1" w:styleId="241">
    <w:name w:val="标题 41"/>
    <w:basedOn w:val="1"/>
    <w:next w:val="1"/>
    <w:link w:val="254"/>
    <w:qFormat/>
    <w:uiPriority w:val="0"/>
    <w:pPr>
      <w:keepNext/>
      <w:keepLines/>
      <w:spacing w:before="280" w:after="290" w:line="376" w:lineRule="atLeast"/>
      <w:outlineLvl w:val="3"/>
    </w:pPr>
    <w:rPr>
      <w:rFonts w:ascii="Arial" w:hAnsi="Arial" w:eastAsia="黑体"/>
      <w:b/>
      <w:sz w:val="28"/>
      <w:szCs w:val="20"/>
    </w:rPr>
  </w:style>
  <w:style w:type="paragraph" w:customStyle="1" w:styleId="242">
    <w:name w:val="标题 51"/>
    <w:basedOn w:val="1"/>
    <w:next w:val="1"/>
    <w:link w:val="255"/>
    <w:qFormat/>
    <w:uiPriority w:val="0"/>
    <w:pPr>
      <w:keepNext/>
      <w:keepLines/>
      <w:spacing w:before="280" w:after="290" w:line="376" w:lineRule="atLeast"/>
      <w:outlineLvl w:val="4"/>
    </w:pPr>
    <w:rPr>
      <w:b/>
      <w:sz w:val="28"/>
      <w:szCs w:val="20"/>
    </w:rPr>
  </w:style>
  <w:style w:type="paragraph" w:customStyle="1" w:styleId="243">
    <w:name w:val="标题 61"/>
    <w:basedOn w:val="1"/>
    <w:next w:val="1"/>
    <w:link w:val="256"/>
    <w:qFormat/>
    <w:uiPriority w:val="0"/>
    <w:pPr>
      <w:keepNext/>
      <w:keepLines/>
      <w:spacing w:before="240" w:after="64" w:line="320" w:lineRule="atLeast"/>
      <w:outlineLvl w:val="5"/>
    </w:pPr>
    <w:rPr>
      <w:rFonts w:ascii="Arial" w:hAnsi="Arial" w:eastAsia="黑体"/>
      <w:b/>
      <w:sz w:val="24"/>
      <w:szCs w:val="20"/>
    </w:rPr>
  </w:style>
  <w:style w:type="paragraph" w:customStyle="1" w:styleId="244">
    <w:name w:val="标题 71"/>
    <w:basedOn w:val="1"/>
    <w:next w:val="1"/>
    <w:link w:val="257"/>
    <w:qFormat/>
    <w:uiPriority w:val="0"/>
    <w:pPr>
      <w:keepNext/>
      <w:keepLines/>
      <w:spacing w:before="240" w:after="64" w:line="320" w:lineRule="atLeast"/>
      <w:outlineLvl w:val="6"/>
    </w:pPr>
    <w:rPr>
      <w:b/>
      <w:sz w:val="24"/>
      <w:szCs w:val="20"/>
    </w:rPr>
  </w:style>
  <w:style w:type="paragraph" w:customStyle="1" w:styleId="245">
    <w:name w:val="标题 81"/>
    <w:basedOn w:val="1"/>
    <w:next w:val="1"/>
    <w:link w:val="258"/>
    <w:qFormat/>
    <w:uiPriority w:val="0"/>
    <w:pPr>
      <w:keepNext/>
      <w:keepLines/>
      <w:spacing w:before="240" w:after="64" w:line="320" w:lineRule="atLeast"/>
      <w:outlineLvl w:val="7"/>
    </w:pPr>
    <w:rPr>
      <w:rFonts w:ascii="Arial" w:hAnsi="Arial" w:eastAsia="黑体"/>
      <w:sz w:val="24"/>
      <w:szCs w:val="20"/>
    </w:rPr>
  </w:style>
  <w:style w:type="paragraph" w:customStyle="1" w:styleId="246">
    <w:name w:val="标题 91"/>
    <w:basedOn w:val="1"/>
    <w:next w:val="1"/>
    <w:link w:val="259"/>
    <w:qFormat/>
    <w:uiPriority w:val="0"/>
    <w:pPr>
      <w:keepNext/>
      <w:keepLines/>
      <w:spacing w:before="240" w:after="64" w:line="320" w:lineRule="atLeast"/>
      <w:outlineLvl w:val="8"/>
    </w:pPr>
    <w:rPr>
      <w:rFonts w:ascii="Arial" w:hAnsi="Arial" w:eastAsia="黑体"/>
      <w:szCs w:val="20"/>
    </w:rPr>
  </w:style>
  <w:style w:type="character" w:customStyle="1" w:styleId="247">
    <w:name w:val="默认段落字体1"/>
    <w:qFormat/>
    <w:uiPriority w:val="1"/>
  </w:style>
  <w:style w:type="table" w:customStyle="1" w:styleId="248">
    <w:name w:val="普通表格1"/>
    <w:qFormat/>
    <w:uiPriority w:val="99"/>
    <w:tblPr>
      <w:tblCellMar>
        <w:top w:w="0" w:type="dxa"/>
        <w:left w:w="0" w:type="dxa"/>
        <w:bottom w:w="0" w:type="dxa"/>
        <w:right w:w="0" w:type="dxa"/>
      </w:tblCellMar>
    </w:tblPr>
  </w:style>
  <w:style w:type="paragraph" w:customStyle="1" w:styleId="249">
    <w:name w:val="正文文本11"/>
    <w:basedOn w:val="1"/>
    <w:next w:val="1"/>
    <w:link w:val="250"/>
    <w:qFormat/>
    <w:uiPriority w:val="0"/>
    <w:pPr>
      <w:tabs>
        <w:tab w:val="left" w:pos="567"/>
      </w:tabs>
      <w:spacing w:before="120" w:line="22" w:lineRule="atLeast"/>
    </w:pPr>
    <w:rPr>
      <w:rFonts w:ascii="宋体" w:hAnsi="宋体"/>
      <w:sz w:val="24"/>
    </w:rPr>
  </w:style>
  <w:style w:type="character" w:customStyle="1" w:styleId="250">
    <w:name w:val="正文文本 字符"/>
    <w:link w:val="249"/>
    <w:qFormat/>
    <w:uiPriority w:val="0"/>
    <w:rPr>
      <w:rFonts w:ascii="宋体" w:hAnsi="宋体"/>
      <w:sz w:val="24"/>
      <w:szCs w:val="24"/>
    </w:rPr>
  </w:style>
  <w:style w:type="character" w:customStyle="1" w:styleId="251">
    <w:name w:val="标题 1 字符"/>
    <w:link w:val="238"/>
    <w:qFormat/>
    <w:uiPriority w:val="0"/>
    <w:rPr>
      <w:rFonts w:ascii="宋体"/>
      <w:b/>
      <w:sz w:val="32"/>
    </w:rPr>
  </w:style>
  <w:style w:type="character" w:customStyle="1" w:styleId="252">
    <w:name w:val="标题 2 字符"/>
    <w:link w:val="239"/>
    <w:qFormat/>
    <w:uiPriority w:val="0"/>
    <w:rPr>
      <w:rFonts w:ascii="Arial" w:hAnsi="Arial" w:eastAsia="黑体"/>
      <w:b/>
      <w:sz w:val="30"/>
      <w:lang w:val="en-US" w:eastAsia="zh-CN" w:bidi="ar-SA"/>
    </w:rPr>
  </w:style>
  <w:style w:type="character" w:customStyle="1" w:styleId="253">
    <w:name w:val="标题 3 字符"/>
    <w:link w:val="240"/>
    <w:qFormat/>
    <w:uiPriority w:val="0"/>
    <w:rPr>
      <w:rFonts w:ascii="宋体" w:eastAsia="宋体"/>
      <w:b/>
      <w:sz w:val="24"/>
      <w:u w:val="single"/>
      <w:lang w:val="en-US" w:eastAsia="zh-CN" w:bidi="ar-SA"/>
    </w:rPr>
  </w:style>
  <w:style w:type="character" w:customStyle="1" w:styleId="254">
    <w:name w:val="标题 4 字符"/>
    <w:link w:val="241"/>
    <w:qFormat/>
    <w:uiPriority w:val="0"/>
    <w:rPr>
      <w:rFonts w:ascii="Arial" w:hAnsi="Arial" w:eastAsia="黑体"/>
      <w:b/>
      <w:sz w:val="28"/>
    </w:rPr>
  </w:style>
  <w:style w:type="character" w:customStyle="1" w:styleId="255">
    <w:name w:val="标题 5 字符"/>
    <w:link w:val="242"/>
    <w:qFormat/>
    <w:uiPriority w:val="0"/>
    <w:rPr>
      <w:b/>
      <w:sz w:val="28"/>
    </w:rPr>
  </w:style>
  <w:style w:type="character" w:customStyle="1" w:styleId="256">
    <w:name w:val="标题 6 字符"/>
    <w:link w:val="243"/>
    <w:qFormat/>
    <w:uiPriority w:val="0"/>
    <w:rPr>
      <w:rFonts w:ascii="Arial" w:hAnsi="Arial" w:eastAsia="黑体"/>
      <w:b/>
      <w:sz w:val="24"/>
    </w:rPr>
  </w:style>
  <w:style w:type="character" w:customStyle="1" w:styleId="257">
    <w:name w:val="标题 7 字符"/>
    <w:link w:val="244"/>
    <w:qFormat/>
    <w:uiPriority w:val="0"/>
    <w:rPr>
      <w:b/>
      <w:sz w:val="24"/>
    </w:rPr>
  </w:style>
  <w:style w:type="character" w:customStyle="1" w:styleId="258">
    <w:name w:val="标题 8 字符"/>
    <w:link w:val="245"/>
    <w:qFormat/>
    <w:uiPriority w:val="0"/>
    <w:rPr>
      <w:rFonts w:ascii="Arial" w:hAnsi="Arial" w:eastAsia="黑体"/>
      <w:sz w:val="24"/>
    </w:rPr>
  </w:style>
  <w:style w:type="character" w:customStyle="1" w:styleId="259">
    <w:name w:val="标题 9 字符"/>
    <w:link w:val="246"/>
    <w:qFormat/>
    <w:uiPriority w:val="0"/>
    <w:rPr>
      <w:rFonts w:ascii="Arial" w:hAnsi="Arial" w:eastAsia="黑体"/>
      <w:sz w:val="21"/>
    </w:rPr>
  </w:style>
  <w:style w:type="paragraph" w:customStyle="1" w:styleId="260">
    <w:name w:val="目录 71"/>
    <w:basedOn w:val="1"/>
    <w:next w:val="1"/>
    <w:qFormat/>
    <w:uiPriority w:val="0"/>
    <w:pPr>
      <w:ind w:left="2520"/>
    </w:pPr>
  </w:style>
  <w:style w:type="paragraph" w:customStyle="1" w:styleId="261">
    <w:name w:val="正文缩进111"/>
    <w:basedOn w:val="1"/>
    <w:next w:val="1"/>
    <w:link w:val="262"/>
    <w:qFormat/>
    <w:uiPriority w:val="0"/>
    <w:pPr>
      <w:ind w:firstLine="420"/>
      <w:jc w:val="left"/>
    </w:pPr>
    <w:rPr>
      <w:rFonts w:ascii="宋体"/>
      <w:sz w:val="24"/>
    </w:rPr>
  </w:style>
  <w:style w:type="character" w:customStyle="1" w:styleId="262">
    <w:name w:val="正文缩进 字符"/>
    <w:link w:val="261"/>
    <w:qFormat/>
    <w:uiPriority w:val="0"/>
    <w:rPr>
      <w:rFonts w:ascii="宋体" w:eastAsia="宋体"/>
      <w:sz w:val="24"/>
      <w:szCs w:val="24"/>
      <w:lang w:val="en-US" w:eastAsia="zh-CN" w:bidi="ar-SA"/>
    </w:rPr>
  </w:style>
  <w:style w:type="paragraph" w:customStyle="1" w:styleId="263">
    <w:name w:val="题注1"/>
    <w:basedOn w:val="1"/>
    <w:next w:val="1"/>
    <w:qFormat/>
    <w:uiPriority w:val="0"/>
    <w:pPr>
      <w:spacing w:line="480" w:lineRule="auto"/>
    </w:pPr>
    <w:rPr>
      <w:rFonts w:ascii="华文中宋" w:hAnsi="华文中宋" w:eastAsia="华文中宋"/>
      <w:sz w:val="36"/>
      <w:szCs w:val="20"/>
    </w:rPr>
  </w:style>
  <w:style w:type="paragraph" w:customStyle="1" w:styleId="264">
    <w:name w:val="文档结构图1"/>
    <w:basedOn w:val="1"/>
    <w:link w:val="265"/>
    <w:qFormat/>
    <w:uiPriority w:val="0"/>
    <w:pPr>
      <w:shd w:val="clear" w:color="auto" w:fill="000080"/>
    </w:pPr>
  </w:style>
  <w:style w:type="character" w:customStyle="1" w:styleId="265">
    <w:name w:val="文档结构图 字符"/>
    <w:link w:val="264"/>
    <w:qFormat/>
    <w:uiPriority w:val="0"/>
    <w:rPr>
      <w:sz w:val="21"/>
      <w:szCs w:val="24"/>
      <w:shd w:val="clear" w:color="auto" w:fill="000080"/>
    </w:rPr>
  </w:style>
  <w:style w:type="paragraph" w:customStyle="1" w:styleId="266">
    <w:name w:val="批注文字1"/>
    <w:basedOn w:val="1"/>
    <w:link w:val="267"/>
    <w:qFormat/>
    <w:uiPriority w:val="99"/>
    <w:pPr>
      <w:jc w:val="left"/>
    </w:pPr>
  </w:style>
  <w:style w:type="character" w:customStyle="1" w:styleId="267">
    <w:name w:val="批注文字 字符1"/>
    <w:link w:val="266"/>
    <w:qFormat/>
    <w:uiPriority w:val="99"/>
    <w:rPr>
      <w:sz w:val="21"/>
      <w:szCs w:val="24"/>
    </w:rPr>
  </w:style>
  <w:style w:type="paragraph" w:customStyle="1" w:styleId="268">
    <w:name w:val="正文文本 31"/>
    <w:basedOn w:val="1"/>
    <w:link w:val="269"/>
    <w:qFormat/>
    <w:uiPriority w:val="0"/>
    <w:pPr>
      <w:spacing w:after="120"/>
    </w:pPr>
    <w:rPr>
      <w:sz w:val="16"/>
      <w:szCs w:val="16"/>
    </w:rPr>
  </w:style>
  <w:style w:type="character" w:customStyle="1" w:styleId="269">
    <w:name w:val="正文文本 3 字符"/>
    <w:link w:val="268"/>
    <w:qFormat/>
    <w:uiPriority w:val="0"/>
    <w:rPr>
      <w:sz w:val="16"/>
      <w:szCs w:val="16"/>
    </w:rPr>
  </w:style>
  <w:style w:type="paragraph" w:customStyle="1" w:styleId="270">
    <w:name w:val="正文文本缩进11"/>
    <w:basedOn w:val="1"/>
    <w:next w:val="1"/>
    <w:link w:val="271"/>
    <w:qFormat/>
    <w:uiPriority w:val="0"/>
    <w:pPr>
      <w:spacing w:line="360" w:lineRule="auto"/>
      <w:ind w:firstLine="570"/>
    </w:pPr>
    <w:rPr>
      <w:sz w:val="24"/>
    </w:rPr>
  </w:style>
  <w:style w:type="character" w:customStyle="1" w:styleId="271">
    <w:name w:val="正文文本缩进 字符"/>
    <w:link w:val="270"/>
    <w:qFormat/>
    <w:uiPriority w:val="0"/>
    <w:rPr>
      <w:rFonts w:eastAsia="宋体"/>
      <w:sz w:val="24"/>
      <w:szCs w:val="24"/>
      <w:lang w:val="en-US" w:eastAsia="zh-CN" w:bidi="ar-SA"/>
    </w:rPr>
  </w:style>
  <w:style w:type="paragraph" w:customStyle="1" w:styleId="272">
    <w:name w:val="列表 21"/>
    <w:basedOn w:val="1"/>
    <w:qFormat/>
    <w:uiPriority w:val="0"/>
    <w:pPr>
      <w:ind w:left="100" w:hanging="200"/>
    </w:pPr>
  </w:style>
  <w:style w:type="paragraph" w:customStyle="1" w:styleId="273">
    <w:name w:val="文本块1"/>
    <w:basedOn w:val="1"/>
    <w:qFormat/>
    <w:uiPriority w:val="0"/>
    <w:pPr>
      <w:widowControl/>
      <w:ind w:left="480" w:right="-341" w:firstLine="513"/>
    </w:pPr>
    <w:rPr>
      <w:sz w:val="24"/>
      <w:szCs w:val="20"/>
    </w:rPr>
  </w:style>
  <w:style w:type="paragraph" w:customStyle="1" w:styleId="274">
    <w:name w:val="目录 51"/>
    <w:basedOn w:val="1"/>
    <w:next w:val="1"/>
    <w:qFormat/>
    <w:uiPriority w:val="0"/>
    <w:pPr>
      <w:ind w:left="1680"/>
    </w:pPr>
  </w:style>
  <w:style w:type="paragraph" w:customStyle="1" w:styleId="275">
    <w:name w:val="目录 31"/>
    <w:basedOn w:val="1"/>
    <w:next w:val="1"/>
    <w:qFormat/>
    <w:uiPriority w:val="39"/>
    <w:pPr>
      <w:ind w:left="840"/>
    </w:pPr>
  </w:style>
  <w:style w:type="paragraph" w:customStyle="1" w:styleId="276">
    <w:name w:val="纯文本1"/>
    <w:basedOn w:val="1"/>
    <w:next w:val="277"/>
    <w:link w:val="278"/>
    <w:qFormat/>
    <w:uiPriority w:val="0"/>
    <w:rPr>
      <w:rFonts w:hint="eastAsia" w:ascii="宋体" w:hAnsi="Courier New"/>
      <w:szCs w:val="20"/>
    </w:rPr>
  </w:style>
  <w:style w:type="paragraph" w:customStyle="1" w:styleId="277">
    <w:name w:val="目录 41"/>
    <w:basedOn w:val="1"/>
    <w:next w:val="1"/>
    <w:qFormat/>
    <w:uiPriority w:val="0"/>
    <w:pPr>
      <w:ind w:left="1260"/>
    </w:pPr>
  </w:style>
  <w:style w:type="character" w:customStyle="1" w:styleId="278">
    <w:name w:val="纯文本 字符2"/>
    <w:link w:val="276"/>
    <w:qFormat/>
    <w:uiPriority w:val="0"/>
    <w:rPr>
      <w:rFonts w:hint="eastAsia" w:ascii="宋体" w:hAnsi="Courier New" w:eastAsia="宋体" w:cs="宋体"/>
      <w:sz w:val="21"/>
    </w:rPr>
  </w:style>
  <w:style w:type="paragraph" w:customStyle="1" w:styleId="279">
    <w:name w:val="目录 81"/>
    <w:basedOn w:val="1"/>
    <w:next w:val="1"/>
    <w:qFormat/>
    <w:uiPriority w:val="0"/>
    <w:pPr>
      <w:ind w:left="2940"/>
    </w:pPr>
  </w:style>
  <w:style w:type="paragraph" w:customStyle="1" w:styleId="280">
    <w:name w:val="日期1"/>
    <w:basedOn w:val="1"/>
    <w:next w:val="1"/>
    <w:link w:val="281"/>
    <w:qFormat/>
    <w:uiPriority w:val="0"/>
    <w:pPr>
      <w:ind w:left="100"/>
    </w:pPr>
    <w:rPr>
      <w:rFonts w:ascii="仿宋_GB2312" w:hAnsi="宋体" w:eastAsia="仿宋_GB2312"/>
      <w:color w:val="000000"/>
      <w:sz w:val="24"/>
    </w:rPr>
  </w:style>
  <w:style w:type="character" w:customStyle="1" w:styleId="281">
    <w:name w:val="日期 字符"/>
    <w:link w:val="280"/>
    <w:qFormat/>
    <w:uiPriority w:val="0"/>
    <w:rPr>
      <w:rFonts w:ascii="仿宋_GB2312" w:hAnsi="宋体" w:eastAsia="仿宋_GB2312"/>
      <w:color w:val="000000"/>
      <w:sz w:val="24"/>
      <w:szCs w:val="24"/>
    </w:rPr>
  </w:style>
  <w:style w:type="paragraph" w:customStyle="1" w:styleId="282">
    <w:name w:val="正文文本缩进 21"/>
    <w:basedOn w:val="1"/>
    <w:link w:val="283"/>
    <w:qFormat/>
    <w:uiPriority w:val="0"/>
    <w:pPr>
      <w:ind w:firstLine="480"/>
    </w:pPr>
    <w:rPr>
      <w:rFonts w:ascii="仿宋_GB2312" w:eastAsia="仿宋_GB2312"/>
      <w:sz w:val="24"/>
    </w:rPr>
  </w:style>
  <w:style w:type="character" w:customStyle="1" w:styleId="283">
    <w:name w:val="正文文本缩进 2 字符"/>
    <w:link w:val="282"/>
    <w:qFormat/>
    <w:uiPriority w:val="0"/>
    <w:rPr>
      <w:rFonts w:ascii="仿宋_GB2312" w:eastAsia="仿宋_GB2312"/>
      <w:sz w:val="24"/>
      <w:szCs w:val="24"/>
    </w:rPr>
  </w:style>
  <w:style w:type="paragraph" w:customStyle="1" w:styleId="284">
    <w:name w:val="批注框文本11"/>
    <w:basedOn w:val="1"/>
    <w:link w:val="285"/>
    <w:qFormat/>
    <w:uiPriority w:val="0"/>
    <w:rPr>
      <w:sz w:val="18"/>
      <w:szCs w:val="18"/>
    </w:rPr>
  </w:style>
  <w:style w:type="character" w:customStyle="1" w:styleId="285">
    <w:name w:val="批注框文本 字符"/>
    <w:link w:val="284"/>
    <w:qFormat/>
    <w:uiPriority w:val="0"/>
    <w:rPr>
      <w:sz w:val="18"/>
      <w:szCs w:val="18"/>
    </w:rPr>
  </w:style>
  <w:style w:type="paragraph" w:customStyle="1" w:styleId="286">
    <w:name w:val="页脚1"/>
    <w:basedOn w:val="1"/>
    <w:link w:val="287"/>
    <w:qFormat/>
    <w:uiPriority w:val="99"/>
    <w:pPr>
      <w:tabs>
        <w:tab w:val="center" w:pos="4153"/>
        <w:tab w:val="right" w:pos="8306"/>
      </w:tabs>
      <w:jc w:val="left"/>
    </w:pPr>
    <w:rPr>
      <w:rFonts w:ascii="宋体"/>
      <w:sz w:val="18"/>
      <w:szCs w:val="20"/>
    </w:rPr>
  </w:style>
  <w:style w:type="character" w:customStyle="1" w:styleId="287">
    <w:name w:val="页脚 字符"/>
    <w:link w:val="286"/>
    <w:qFormat/>
    <w:uiPriority w:val="99"/>
    <w:rPr>
      <w:rFonts w:ascii="宋体" w:eastAsia="宋体"/>
      <w:sz w:val="18"/>
      <w:lang w:val="en-US" w:eastAsia="zh-CN" w:bidi="ar-SA"/>
    </w:rPr>
  </w:style>
  <w:style w:type="paragraph" w:customStyle="1" w:styleId="288">
    <w:name w:val="寄信人地址1"/>
    <w:basedOn w:val="1"/>
    <w:qFormat/>
    <w:uiPriority w:val="99"/>
    <w:rPr>
      <w:rFonts w:ascii="Arial" w:hAnsi="Arial" w:cs="Arial"/>
    </w:rPr>
  </w:style>
  <w:style w:type="paragraph" w:customStyle="1" w:styleId="289">
    <w:name w:val="页眉1"/>
    <w:basedOn w:val="1"/>
    <w:link w:val="290"/>
    <w:qFormat/>
    <w:uiPriority w:val="0"/>
    <w:pPr>
      <w:pBdr>
        <w:bottom w:val="single" w:color="000000" w:sz="6" w:space="1"/>
      </w:pBdr>
      <w:tabs>
        <w:tab w:val="center" w:pos="4153"/>
        <w:tab w:val="right" w:pos="8306"/>
      </w:tabs>
      <w:jc w:val="center"/>
    </w:pPr>
    <w:rPr>
      <w:sz w:val="18"/>
      <w:szCs w:val="18"/>
    </w:rPr>
  </w:style>
  <w:style w:type="character" w:customStyle="1" w:styleId="290">
    <w:name w:val="页眉 字符"/>
    <w:link w:val="289"/>
    <w:qFormat/>
    <w:uiPriority w:val="0"/>
    <w:rPr>
      <w:rFonts w:eastAsia="宋体"/>
      <w:sz w:val="18"/>
      <w:szCs w:val="18"/>
      <w:lang w:val="en-US" w:eastAsia="zh-CN" w:bidi="ar-SA"/>
    </w:rPr>
  </w:style>
  <w:style w:type="paragraph" w:customStyle="1" w:styleId="291">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292">
    <w:name w:val="目录 61"/>
    <w:basedOn w:val="1"/>
    <w:next w:val="1"/>
    <w:qFormat/>
    <w:uiPriority w:val="0"/>
    <w:pPr>
      <w:ind w:left="2100"/>
    </w:pPr>
  </w:style>
  <w:style w:type="paragraph" w:customStyle="1" w:styleId="293">
    <w:name w:val="正文文本缩进 31"/>
    <w:basedOn w:val="1"/>
    <w:link w:val="294"/>
    <w:qFormat/>
    <w:uiPriority w:val="0"/>
    <w:pPr>
      <w:spacing w:before="120" w:line="22" w:lineRule="atLeast"/>
      <w:ind w:left="720" w:firstLine="480"/>
      <w:jc w:val="left"/>
    </w:pPr>
    <w:rPr>
      <w:rFonts w:ascii="宋体"/>
      <w:sz w:val="24"/>
      <w:szCs w:val="20"/>
    </w:rPr>
  </w:style>
  <w:style w:type="character" w:customStyle="1" w:styleId="294">
    <w:name w:val="正文文本缩进 3 字符"/>
    <w:link w:val="293"/>
    <w:qFormat/>
    <w:uiPriority w:val="0"/>
    <w:rPr>
      <w:rFonts w:ascii="宋体"/>
      <w:sz w:val="24"/>
    </w:rPr>
  </w:style>
  <w:style w:type="paragraph" w:customStyle="1" w:styleId="295">
    <w:name w:val="目录 21"/>
    <w:basedOn w:val="1"/>
    <w:next w:val="1"/>
    <w:qFormat/>
    <w:uiPriority w:val="39"/>
    <w:pPr>
      <w:tabs>
        <w:tab w:val="right" w:leader="dot" w:pos="8937"/>
      </w:tabs>
      <w:spacing w:line="312" w:lineRule="auto"/>
      <w:ind w:left="420"/>
    </w:pPr>
  </w:style>
  <w:style w:type="paragraph" w:customStyle="1" w:styleId="296">
    <w:name w:val="目录 91"/>
    <w:basedOn w:val="1"/>
    <w:next w:val="1"/>
    <w:qFormat/>
    <w:uiPriority w:val="0"/>
    <w:pPr>
      <w:ind w:left="3360"/>
    </w:pPr>
  </w:style>
  <w:style w:type="paragraph" w:customStyle="1" w:styleId="297">
    <w:name w:val="信息标题1"/>
    <w:basedOn w:val="1"/>
    <w:qFormat/>
    <w:uiPriority w:val="99"/>
    <w:pPr>
      <w:pBdr>
        <w:top w:val="single" w:color="000000" w:sz="6" w:space="1"/>
        <w:left w:val="single" w:color="000000" w:sz="6" w:space="1"/>
        <w:bottom w:val="single" w:color="000000" w:sz="6" w:space="1"/>
        <w:right w:val="single" w:color="000000" w:sz="6" w:space="1"/>
      </w:pBdr>
      <w:shd w:val="pct20" w:color="auto" w:fill="auto"/>
      <w:ind w:hanging="1080"/>
    </w:pPr>
    <w:rPr>
      <w:rFonts w:ascii="Arial" w:hAnsi="Arial"/>
      <w:sz w:val="24"/>
    </w:rPr>
  </w:style>
  <w:style w:type="paragraph" w:customStyle="1" w:styleId="298">
    <w:name w:val="HTML 预设格式1"/>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299">
    <w:name w:val="HTML 预设格式 字符"/>
    <w:link w:val="298"/>
    <w:qFormat/>
    <w:uiPriority w:val="0"/>
    <w:rPr>
      <w:rFonts w:ascii="宋体" w:hAnsi="宋体" w:cs="宋体"/>
      <w:sz w:val="24"/>
      <w:szCs w:val="24"/>
    </w:rPr>
  </w:style>
  <w:style w:type="paragraph" w:customStyle="1" w:styleId="300">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301">
    <w:name w:val="索引 11"/>
    <w:basedOn w:val="1"/>
    <w:next w:val="1"/>
    <w:qFormat/>
    <w:uiPriority w:val="0"/>
    <w:rPr>
      <w:szCs w:val="20"/>
    </w:rPr>
  </w:style>
  <w:style w:type="paragraph" w:customStyle="1" w:styleId="302">
    <w:name w:val="标题1"/>
    <w:basedOn w:val="1"/>
    <w:link w:val="303"/>
    <w:qFormat/>
    <w:uiPriority w:val="0"/>
    <w:pPr>
      <w:jc w:val="center"/>
      <w:outlineLvl w:val="0"/>
    </w:pPr>
    <w:rPr>
      <w:b/>
      <w:sz w:val="32"/>
      <w:szCs w:val="20"/>
    </w:rPr>
  </w:style>
  <w:style w:type="character" w:customStyle="1" w:styleId="303">
    <w:name w:val="标题 字符"/>
    <w:link w:val="302"/>
    <w:qFormat/>
    <w:uiPriority w:val="0"/>
    <w:rPr>
      <w:b/>
      <w:sz w:val="32"/>
    </w:rPr>
  </w:style>
  <w:style w:type="paragraph" w:customStyle="1" w:styleId="304">
    <w:name w:val="批注主题1"/>
    <w:basedOn w:val="266"/>
    <w:next w:val="266"/>
    <w:link w:val="305"/>
    <w:qFormat/>
    <w:uiPriority w:val="0"/>
    <w:rPr>
      <w:b/>
      <w:bCs/>
    </w:rPr>
  </w:style>
  <w:style w:type="character" w:customStyle="1" w:styleId="305">
    <w:name w:val="批注主题 字符"/>
    <w:link w:val="304"/>
    <w:qFormat/>
    <w:uiPriority w:val="0"/>
    <w:rPr>
      <w:rFonts w:ascii="Times New Roman" w:hAnsi="Times New Roman" w:eastAsia="宋体" w:cs="Times New Roman"/>
      <w:b/>
      <w:bCs/>
      <w:sz w:val="21"/>
      <w:szCs w:val="24"/>
      <w:lang w:val="en-US" w:eastAsia="zh-CN" w:bidi="ar-SA"/>
    </w:rPr>
  </w:style>
  <w:style w:type="paragraph" w:customStyle="1" w:styleId="306">
    <w:name w:val="正文首行缩进1"/>
    <w:basedOn w:val="249"/>
    <w:qFormat/>
    <w:uiPriority w:val="99"/>
    <w:pPr>
      <w:ind w:firstLine="420"/>
    </w:pPr>
    <w:rPr>
      <w:sz w:val="20"/>
      <w:szCs w:val="20"/>
    </w:rPr>
  </w:style>
  <w:style w:type="paragraph" w:customStyle="1" w:styleId="307">
    <w:name w:val="正文首行缩进 21"/>
    <w:basedOn w:val="270"/>
    <w:link w:val="308"/>
    <w:qFormat/>
    <w:uiPriority w:val="0"/>
    <w:pPr>
      <w:spacing w:after="120" w:line="480" w:lineRule="exact"/>
      <w:ind w:left="420" w:firstLine="420"/>
    </w:pPr>
    <w:rPr>
      <w:sz w:val="24"/>
    </w:rPr>
  </w:style>
  <w:style w:type="character" w:customStyle="1" w:styleId="308">
    <w:name w:val="正文首行缩进 2 字符"/>
    <w:link w:val="307"/>
    <w:qFormat/>
    <w:uiPriority w:val="0"/>
    <w:rPr>
      <w:rFonts w:eastAsia="宋体"/>
      <w:sz w:val="24"/>
      <w:szCs w:val="24"/>
      <w:lang w:val="en-US" w:eastAsia="zh-CN" w:bidi="ar-SA"/>
    </w:rPr>
  </w:style>
  <w:style w:type="table" w:customStyle="1" w:styleId="309">
    <w:name w:val="网格型1"/>
    <w:basedOn w:val="248"/>
    <w:qFormat/>
    <w:uiPriority w:val="59"/>
    <w:tblPr>
      <w:tblCellMar>
        <w:top w:w="0" w:type="dxa"/>
        <w:left w:w="0" w:type="dxa"/>
        <w:bottom w:w="0" w:type="dxa"/>
        <w:right w:w="0" w:type="dxa"/>
      </w:tblCellMar>
    </w:tblPr>
  </w:style>
  <w:style w:type="table" w:customStyle="1" w:styleId="310">
    <w:name w:val="中等深浅网格 1 - 强调文字颜色 21"/>
    <w:basedOn w:val="248"/>
    <w:qFormat/>
    <w:uiPriority w:val="0"/>
    <w:rPr>
      <w:sz w:val="21"/>
      <w:szCs w:val="24"/>
    </w:rPr>
    <w:tblPr>
      <w:tblCellMar>
        <w:top w:w="0" w:type="dxa"/>
        <w:left w:w="0" w:type="dxa"/>
        <w:bottom w:w="0" w:type="dxa"/>
        <w:right w:w="0" w:type="dxa"/>
      </w:tblCellMar>
    </w:tblPr>
  </w:style>
  <w:style w:type="character" w:customStyle="1" w:styleId="311">
    <w:name w:val="要点1"/>
    <w:qFormat/>
    <w:uiPriority w:val="0"/>
    <w:rPr>
      <w:b/>
      <w:bCs/>
    </w:rPr>
  </w:style>
  <w:style w:type="character" w:customStyle="1" w:styleId="312">
    <w:name w:val="页码1"/>
    <w:qFormat/>
    <w:uiPriority w:val="0"/>
  </w:style>
  <w:style w:type="character" w:customStyle="1" w:styleId="313">
    <w:name w:val="已访问的超链接1"/>
    <w:basedOn w:val="247"/>
    <w:qFormat/>
    <w:uiPriority w:val="0"/>
    <w:rPr>
      <w:color w:val="555555"/>
      <w:u w:val="none"/>
    </w:rPr>
  </w:style>
  <w:style w:type="character" w:customStyle="1" w:styleId="314">
    <w:name w:val="强调1"/>
    <w:qFormat/>
    <w:uiPriority w:val="0"/>
    <w:rPr>
      <w:color w:val="CC0033"/>
    </w:rPr>
  </w:style>
  <w:style w:type="character" w:customStyle="1" w:styleId="315">
    <w:name w:val="超链接1"/>
    <w:basedOn w:val="247"/>
    <w:qFormat/>
    <w:uiPriority w:val="99"/>
    <w:rPr>
      <w:color w:val="555555"/>
      <w:u w:val="none"/>
    </w:rPr>
  </w:style>
  <w:style w:type="character" w:customStyle="1" w:styleId="316">
    <w:name w:val="批注引用1"/>
    <w:qFormat/>
    <w:uiPriority w:val="99"/>
    <w:rPr>
      <w:sz w:val="21"/>
      <w:szCs w:val="21"/>
    </w:rPr>
  </w:style>
  <w:style w:type="character" w:customStyle="1" w:styleId="317">
    <w:name w:val="HTML 引文1"/>
    <w:qFormat/>
    <w:uiPriority w:val="0"/>
    <w:rPr>
      <w:i/>
      <w:iCs/>
    </w:rPr>
  </w:style>
  <w:style w:type="character" w:customStyle="1" w:styleId="318">
    <w:name w:val="纯文本 Char1"/>
    <w:qFormat/>
    <w:uiPriority w:val="0"/>
    <w:rPr>
      <w:rFonts w:ascii="宋体" w:hAnsi="Courier New" w:eastAsia="宋体"/>
      <w:sz w:val="21"/>
      <w:lang w:val="en-US" w:eastAsia="zh-CN" w:bidi="ar-SA"/>
    </w:rPr>
  </w:style>
  <w:style w:type="character" w:customStyle="1" w:styleId="319">
    <w:name w:val="页眉 Char"/>
    <w:qFormat/>
    <w:uiPriority w:val="0"/>
    <w:rPr>
      <w:rFonts w:eastAsia="宋体"/>
      <w:sz w:val="18"/>
      <w:szCs w:val="18"/>
      <w:lang w:val="en-US" w:eastAsia="zh-CN" w:bidi="ar-SA"/>
    </w:rPr>
  </w:style>
  <w:style w:type="character" w:customStyle="1" w:styleId="320">
    <w:name w:val="black1"/>
    <w:qFormat/>
    <w:uiPriority w:val="0"/>
    <w:rPr>
      <w:color w:val="000000"/>
    </w:rPr>
  </w:style>
  <w:style w:type="character" w:customStyle="1" w:styleId="321">
    <w:name w:val="纯文本 字符"/>
    <w:qFormat/>
    <w:uiPriority w:val="99"/>
    <w:rPr>
      <w:rFonts w:ascii="宋体" w:hAnsi="Courier New" w:eastAsia="宋体" w:cs="Times New Roman"/>
      <w:sz w:val="21"/>
      <w:szCs w:val="21"/>
      <w:lang w:val="en-US" w:eastAsia="zh-CN" w:bidi="ar-SA"/>
    </w:rPr>
  </w:style>
  <w:style w:type="character" w:customStyle="1" w:styleId="322">
    <w:name w:val="正文文本缩进 Char1"/>
    <w:link w:val="323"/>
    <w:qFormat/>
    <w:uiPriority w:val="0"/>
    <w:rPr>
      <w:rFonts w:ascii="宋体" w:hAnsi="宋体" w:eastAsia="宋体"/>
      <w:sz w:val="24"/>
      <w:szCs w:val="24"/>
      <w:lang w:bidi="ar-SA"/>
    </w:rPr>
  </w:style>
  <w:style w:type="paragraph" w:customStyle="1" w:styleId="323">
    <w:name w:val="正文文本缩进1"/>
    <w:basedOn w:val="1"/>
    <w:link w:val="322"/>
    <w:qFormat/>
    <w:uiPriority w:val="0"/>
    <w:pPr>
      <w:spacing w:line="480" w:lineRule="exact"/>
      <w:ind w:firstLine="480"/>
    </w:pPr>
    <w:rPr>
      <w:rFonts w:ascii="宋体" w:hAnsi="宋体"/>
      <w:sz w:val="24"/>
    </w:rPr>
  </w:style>
  <w:style w:type="character" w:customStyle="1" w:styleId="324">
    <w:name w:val="正文缩进 Char"/>
    <w:qFormat/>
    <w:uiPriority w:val="0"/>
    <w:rPr>
      <w:rFonts w:ascii="宋体" w:eastAsia="宋体"/>
      <w:sz w:val="24"/>
      <w:szCs w:val="24"/>
      <w:lang w:val="en-US" w:eastAsia="zh-CN" w:bidi="ar-SA"/>
    </w:rPr>
  </w:style>
  <w:style w:type="character" w:customStyle="1" w:styleId="325">
    <w:name w:val="txt"/>
    <w:qFormat/>
    <w:uiPriority w:val="0"/>
  </w:style>
  <w:style w:type="character" w:customStyle="1" w:styleId="326">
    <w:name w:val="locality"/>
    <w:qFormat/>
    <w:uiPriority w:val="0"/>
  </w:style>
  <w:style w:type="character" w:customStyle="1" w:styleId="327">
    <w:name w:val="批注文字 字符"/>
    <w:qFormat/>
    <w:uiPriority w:val="99"/>
    <w:rPr>
      <w:rFonts w:ascii="Times New Roman" w:hAnsi="Times New Roman" w:eastAsia="宋体" w:cs="Times New Roman"/>
      <w:sz w:val="24"/>
      <w:lang w:val="en-US" w:eastAsia="zh-CN" w:bidi="ar-SA"/>
    </w:rPr>
  </w:style>
  <w:style w:type="character" w:customStyle="1" w:styleId="328">
    <w:name w:val="正文重点 Char"/>
    <w:link w:val="329"/>
    <w:qFormat/>
    <w:uiPriority w:val="0"/>
    <w:rPr>
      <w:b/>
      <w:sz w:val="24"/>
    </w:rPr>
  </w:style>
  <w:style w:type="paragraph" w:customStyle="1" w:styleId="329">
    <w:name w:val="正文重点"/>
    <w:basedOn w:val="1"/>
    <w:link w:val="328"/>
    <w:qFormat/>
    <w:uiPriority w:val="0"/>
    <w:pPr>
      <w:spacing w:line="360" w:lineRule="auto"/>
      <w:ind w:firstLine="482"/>
      <w:jc w:val="left"/>
    </w:pPr>
    <w:rPr>
      <w:b/>
      <w:sz w:val="24"/>
      <w:szCs w:val="20"/>
    </w:rPr>
  </w:style>
  <w:style w:type="character" w:customStyle="1" w:styleId="330">
    <w:name w:val="正文大标题 Char"/>
    <w:link w:val="331"/>
    <w:qFormat/>
    <w:uiPriority w:val="0"/>
    <w:rPr>
      <w:rFonts w:ascii="宋体" w:hAnsi="宋体"/>
      <w:b/>
      <w:color w:val="000000"/>
      <w:sz w:val="28"/>
      <w:szCs w:val="21"/>
    </w:rPr>
  </w:style>
  <w:style w:type="paragraph" w:customStyle="1" w:styleId="331">
    <w:name w:val="正文大标题"/>
    <w:basedOn w:val="332"/>
    <w:next w:val="261"/>
    <w:link w:val="330"/>
    <w:qFormat/>
    <w:uiPriority w:val="0"/>
    <w:pPr>
      <w:jc w:val="center"/>
    </w:pPr>
    <w:rPr>
      <w:i w:val="0"/>
      <w:color w:val="000000"/>
      <w:sz w:val="28"/>
      <w:szCs w:val="21"/>
    </w:rPr>
  </w:style>
  <w:style w:type="paragraph" w:customStyle="1" w:styleId="332">
    <w:name w:val="正文小标题"/>
    <w:basedOn w:val="1"/>
    <w:next w:val="261"/>
    <w:link w:val="333"/>
    <w:qFormat/>
    <w:uiPriority w:val="0"/>
    <w:pPr>
      <w:spacing w:before="312" w:after="312"/>
      <w:ind w:firstLine="482"/>
      <w:jc w:val="left"/>
    </w:pPr>
    <w:rPr>
      <w:rFonts w:ascii="宋体" w:hAnsi="宋体"/>
      <w:b/>
      <w:i/>
      <w:color w:val="FF0000"/>
      <w:sz w:val="24"/>
      <w:szCs w:val="20"/>
    </w:rPr>
  </w:style>
  <w:style w:type="character" w:customStyle="1" w:styleId="333">
    <w:name w:val="正文小标题 Char"/>
    <w:link w:val="332"/>
    <w:qFormat/>
    <w:uiPriority w:val="0"/>
    <w:rPr>
      <w:rFonts w:ascii="宋体" w:hAnsi="宋体"/>
      <w:b/>
      <w:i/>
      <w:color w:val="FF0000"/>
      <w:sz w:val="24"/>
    </w:rPr>
  </w:style>
  <w:style w:type="character" w:customStyle="1" w:styleId="334">
    <w:name w:val="标题 2 Char Char"/>
    <w:qFormat/>
    <w:uiPriority w:val="0"/>
    <w:rPr>
      <w:rFonts w:ascii="Arial" w:hAnsi="Arial" w:eastAsia="黑体"/>
      <w:b/>
      <w:bCs/>
      <w:sz w:val="32"/>
      <w:szCs w:val="32"/>
      <w:lang w:val="en-US" w:eastAsia="zh-CN" w:bidi="ar-SA"/>
    </w:rPr>
  </w:style>
  <w:style w:type="character" w:customStyle="1" w:styleId="335">
    <w:name w:val="列出段落 Char"/>
    <w:qFormat/>
    <w:uiPriority w:val="0"/>
    <w:rPr>
      <w:rFonts w:ascii="Calibri" w:hAnsi="Calibri" w:eastAsia="宋体"/>
      <w:sz w:val="21"/>
      <w:szCs w:val="22"/>
      <w:lang w:val="en-US" w:eastAsia="zh-CN" w:bidi="ar-SA"/>
    </w:rPr>
  </w:style>
  <w:style w:type="character" w:customStyle="1" w:styleId="336">
    <w:name w:val="普通文字1 Char1"/>
    <w:qFormat/>
    <w:uiPriority w:val="0"/>
    <w:rPr>
      <w:rFonts w:ascii="宋体" w:hAnsi="Courier New" w:eastAsia="宋体"/>
      <w:sz w:val="21"/>
      <w:lang w:val="en-US" w:eastAsia="zh-CN" w:bidi="ar-SA"/>
    </w:rPr>
  </w:style>
  <w:style w:type="character" w:customStyle="1" w:styleId="337">
    <w:name w:val="列出段落 字符"/>
    <w:link w:val="338"/>
    <w:qFormat/>
    <w:uiPriority w:val="34"/>
    <w:rPr>
      <w:rFonts w:ascii="Calibri" w:hAnsi="Calibri" w:eastAsia="宋体"/>
      <w:sz w:val="21"/>
      <w:szCs w:val="22"/>
      <w:lang w:val="en-US" w:eastAsia="zh-CN" w:bidi="ar-SA"/>
    </w:rPr>
  </w:style>
  <w:style w:type="paragraph" w:customStyle="1" w:styleId="338">
    <w:name w:val="列出段落1"/>
    <w:basedOn w:val="1"/>
    <w:link w:val="337"/>
    <w:qFormat/>
    <w:uiPriority w:val="34"/>
    <w:pPr>
      <w:ind w:firstLine="420"/>
    </w:pPr>
    <w:rPr>
      <w:rFonts w:ascii="Calibri" w:hAnsi="Calibri"/>
      <w:szCs w:val="22"/>
    </w:rPr>
  </w:style>
  <w:style w:type="character" w:customStyle="1" w:styleId="339">
    <w:name w:val="纯文本 字符1"/>
    <w:qFormat/>
    <w:uiPriority w:val="0"/>
    <w:rPr>
      <w:rFonts w:ascii="宋体" w:hAnsi="Courier New"/>
    </w:rPr>
  </w:style>
  <w:style w:type="character" w:customStyle="1" w:styleId="340">
    <w:name w:val="标题 Char"/>
    <w:qFormat/>
    <w:uiPriority w:val="0"/>
    <w:rPr>
      <w:b/>
      <w:sz w:val="32"/>
    </w:rPr>
  </w:style>
  <w:style w:type="character" w:customStyle="1" w:styleId="341">
    <w:name w:val="Char Char11"/>
    <w:qFormat/>
    <w:uiPriority w:val="0"/>
    <w:rPr>
      <w:rFonts w:ascii="宋体" w:eastAsia="宋体"/>
      <w:b/>
      <w:sz w:val="24"/>
      <w:u w:val="single"/>
      <w:lang w:val="en-US" w:eastAsia="zh-CN" w:bidi="ar-SA"/>
    </w:rPr>
  </w:style>
  <w:style w:type="character" w:customStyle="1" w:styleId="342">
    <w:name w:val="批注文字 Char"/>
    <w:qFormat/>
    <w:uiPriority w:val="99"/>
    <w:rPr>
      <w:sz w:val="21"/>
      <w:szCs w:val="24"/>
    </w:rPr>
  </w:style>
  <w:style w:type="character" w:customStyle="1" w:styleId="343">
    <w:name w:val="chanpin1"/>
    <w:qFormat/>
    <w:uiPriority w:val="0"/>
    <w:rPr>
      <w:rFonts w:ascii="ˎ̥" w:hAnsi="ˎ̥"/>
      <w:color w:val="000000"/>
      <w:sz w:val="20"/>
      <w:szCs w:val="20"/>
      <w:u w:val="none"/>
    </w:rPr>
  </w:style>
  <w:style w:type="character" w:customStyle="1" w:styleId="344">
    <w:name w:val="中等深浅网格 1 - 强调文字颜色 2 Char"/>
    <w:link w:val="345"/>
    <w:qFormat/>
    <w:uiPriority w:val="0"/>
    <w:rPr>
      <w:sz w:val="21"/>
      <w:szCs w:val="24"/>
      <w:lang w:val="zh-CN" w:eastAsia="zh-CN" w:bidi="ar-SA"/>
    </w:rPr>
  </w:style>
  <w:style w:type="paragraph" w:customStyle="1" w:styleId="345">
    <w:name w:val="1"/>
    <w:link w:val="344"/>
    <w:qFormat/>
    <w:uiPriority w:val="0"/>
    <w:rPr>
      <w:rFonts w:hint="default" w:ascii="Times New Roman" w:hAnsi="Times New Roman" w:eastAsia="宋体" w:cs="Times New Roman"/>
      <w:sz w:val="21"/>
      <w:szCs w:val="24"/>
      <w:lang w:val="zh-CN" w:eastAsia="zh-CN" w:bidi="ar-SA"/>
    </w:rPr>
  </w:style>
  <w:style w:type="character" w:customStyle="1" w:styleId="346">
    <w:name w:val="正文缩进 Char Char"/>
    <w:link w:val="347"/>
    <w:qFormat/>
    <w:uiPriority w:val="0"/>
    <w:rPr>
      <w:rFonts w:ascii="宋体" w:eastAsia="宋体"/>
      <w:color w:val="000000"/>
      <w:sz w:val="28"/>
      <w:lang w:bidi="ar-SA"/>
    </w:rPr>
  </w:style>
  <w:style w:type="paragraph" w:customStyle="1" w:styleId="347">
    <w:name w:val="正文缩进1"/>
    <w:basedOn w:val="1"/>
    <w:link w:val="346"/>
    <w:qFormat/>
    <w:uiPriority w:val="0"/>
    <w:pPr>
      <w:widowControl/>
      <w:spacing w:line="480" w:lineRule="exact"/>
      <w:ind w:firstLine="567"/>
    </w:pPr>
    <w:rPr>
      <w:rFonts w:ascii="宋体"/>
      <w:color w:val="000000"/>
      <w:sz w:val="28"/>
      <w:szCs w:val="20"/>
    </w:rPr>
  </w:style>
  <w:style w:type="character" w:customStyle="1" w:styleId="348">
    <w:name w:val="正文文本首行缩进 2 字符"/>
    <w:qFormat/>
    <w:uiPriority w:val="0"/>
    <w:rPr>
      <w:sz w:val="21"/>
      <w:szCs w:val="24"/>
    </w:rPr>
  </w:style>
  <w:style w:type="character" w:customStyle="1" w:styleId="349">
    <w:name w:val="chanpin拷贝"/>
    <w:qFormat/>
    <w:uiPriority w:val="0"/>
  </w:style>
  <w:style w:type="character" w:customStyle="1" w:styleId="350">
    <w:name w:val="apple-style-span"/>
    <w:qFormat/>
    <w:uiPriority w:val="0"/>
    <w:rPr>
      <w:rFonts w:cs="Times New Roman"/>
    </w:rPr>
  </w:style>
  <w:style w:type="character" w:customStyle="1" w:styleId="351">
    <w:name w:val="正文文本缩进 Char"/>
    <w:qFormat/>
    <w:uiPriority w:val="0"/>
    <w:rPr>
      <w:rFonts w:eastAsia="宋体"/>
      <w:sz w:val="24"/>
      <w:szCs w:val="24"/>
      <w:lang w:val="en-US" w:eastAsia="zh-CN" w:bidi="ar-SA"/>
    </w:rPr>
  </w:style>
  <w:style w:type="character" w:customStyle="1" w:styleId="352">
    <w:name w:val="段1 Char"/>
    <w:qFormat/>
    <w:uiPriority w:val="0"/>
    <w:rPr>
      <w:rFonts w:ascii="宋体" w:eastAsia="宋体"/>
      <w:sz w:val="24"/>
      <w:lang w:val="en-US" w:eastAsia="zh-CN" w:bidi="ar-SA"/>
    </w:rPr>
  </w:style>
  <w:style w:type="character" w:customStyle="1" w:styleId="353">
    <w:name w:val="正文格式 Char"/>
    <w:link w:val="354"/>
    <w:qFormat/>
    <w:uiPriority w:val="0"/>
    <w:rPr>
      <w:rFonts w:ascii="宋体" w:hAnsi="宋体"/>
      <w:sz w:val="24"/>
      <w:szCs w:val="24"/>
      <w:lang w:val="en-GB"/>
    </w:rPr>
  </w:style>
  <w:style w:type="paragraph" w:customStyle="1" w:styleId="354">
    <w:name w:val="正文格式"/>
    <w:basedOn w:val="1"/>
    <w:link w:val="353"/>
    <w:qFormat/>
    <w:uiPriority w:val="0"/>
    <w:pPr>
      <w:spacing w:line="360" w:lineRule="auto"/>
      <w:ind w:firstLine="480"/>
    </w:pPr>
    <w:rPr>
      <w:rFonts w:ascii="宋体" w:hAnsi="宋体"/>
      <w:sz w:val="24"/>
      <w:lang w:val="en-GB"/>
    </w:rPr>
  </w:style>
  <w:style w:type="character" w:customStyle="1" w:styleId="355">
    <w:name w:val="标题 3 Char"/>
    <w:qFormat/>
    <w:uiPriority w:val="0"/>
    <w:rPr>
      <w:rFonts w:ascii="宋体" w:eastAsia="宋体"/>
      <w:b/>
      <w:sz w:val="24"/>
      <w:u w:val="single"/>
      <w:lang w:val="en-US" w:eastAsia="zh-CN" w:bidi="ar-SA"/>
    </w:rPr>
  </w:style>
  <w:style w:type="character" w:customStyle="1" w:styleId="356">
    <w:name w:val="成文日期 Char"/>
    <w:link w:val="357"/>
    <w:qFormat/>
    <w:uiPriority w:val="0"/>
    <w:rPr>
      <w:rFonts w:ascii="仿宋_GB2312" w:eastAsia="仿宋_GB2312"/>
      <w:sz w:val="32"/>
    </w:rPr>
  </w:style>
  <w:style w:type="paragraph" w:customStyle="1" w:styleId="357">
    <w:name w:val="成文日期"/>
    <w:basedOn w:val="1"/>
    <w:link w:val="356"/>
    <w:qFormat/>
    <w:uiPriority w:val="0"/>
    <w:pPr>
      <w:spacing w:line="570" w:lineRule="exact"/>
      <w:ind w:right="400" w:firstLine="200"/>
      <w:jc w:val="right"/>
    </w:pPr>
    <w:rPr>
      <w:rFonts w:ascii="仿宋_GB2312" w:eastAsia="仿宋_GB2312"/>
      <w:sz w:val="32"/>
      <w:szCs w:val="20"/>
    </w:rPr>
  </w:style>
  <w:style w:type="character" w:customStyle="1" w:styleId="358">
    <w:name w:val="title4"/>
    <w:qFormat/>
    <w:uiPriority w:val="0"/>
    <w:rPr>
      <w:b/>
      <w:bCs/>
      <w:color w:val="1D87B3"/>
      <w:sz w:val="15"/>
      <w:szCs w:val="15"/>
    </w:rPr>
  </w:style>
  <w:style w:type="character" w:customStyle="1" w:styleId="359">
    <w:name w:val="页脚 Char"/>
    <w:qFormat/>
    <w:uiPriority w:val="0"/>
    <w:rPr>
      <w:rFonts w:ascii="宋体" w:eastAsia="宋体"/>
      <w:sz w:val="18"/>
      <w:lang w:val="en-US" w:eastAsia="zh-CN" w:bidi="ar-SA"/>
    </w:rPr>
  </w:style>
  <w:style w:type="character" w:customStyle="1" w:styleId="360">
    <w:name w:val="bjh-p"/>
    <w:qFormat/>
    <w:uiPriority w:val="0"/>
  </w:style>
  <w:style w:type="character" w:customStyle="1" w:styleId="361">
    <w:name w:val="正文表格 Char"/>
    <w:link w:val="362"/>
    <w:qFormat/>
    <w:uiPriority w:val="0"/>
    <w:rPr>
      <w:rFonts w:ascii="宋体" w:hAnsi="宋体"/>
      <w:color w:val="000000"/>
      <w:sz w:val="21"/>
      <w:szCs w:val="21"/>
    </w:rPr>
  </w:style>
  <w:style w:type="paragraph" w:customStyle="1" w:styleId="362">
    <w:name w:val="正文表格"/>
    <w:basedOn w:val="1"/>
    <w:link w:val="361"/>
    <w:qFormat/>
    <w:uiPriority w:val="0"/>
    <w:pPr>
      <w:jc w:val="left"/>
    </w:pPr>
    <w:rPr>
      <w:rFonts w:ascii="宋体" w:hAnsi="宋体"/>
      <w:color w:val="000000"/>
      <w:szCs w:val="21"/>
    </w:rPr>
  </w:style>
  <w:style w:type="character" w:customStyle="1" w:styleId="363">
    <w:name w:val="Char Char111"/>
    <w:qFormat/>
    <w:uiPriority w:val="0"/>
    <w:rPr>
      <w:rFonts w:ascii="宋体" w:eastAsia="宋体"/>
      <w:b/>
      <w:sz w:val="24"/>
      <w:u w:val="single"/>
      <w:lang w:val="en-US" w:eastAsia="zh-CN" w:bidi="ar-SA"/>
    </w:rPr>
  </w:style>
  <w:style w:type="character" w:customStyle="1" w:styleId="364">
    <w:name w:val="标题 2 Char"/>
    <w:qFormat/>
    <w:uiPriority w:val="0"/>
    <w:rPr>
      <w:rFonts w:ascii="Arial" w:hAnsi="Arial" w:eastAsia="黑体"/>
      <w:b/>
      <w:sz w:val="30"/>
      <w:lang w:val="en-US" w:eastAsia="zh-CN" w:bidi="ar-SA"/>
    </w:rPr>
  </w:style>
  <w:style w:type="character" w:customStyle="1" w:styleId="365">
    <w:name w:val="c21"/>
    <w:qFormat/>
    <w:uiPriority w:val="0"/>
    <w:rPr>
      <w:rFonts w:ascii="ˎ̥" w:hAnsi="ˎ̥"/>
      <w:color w:val="000000"/>
      <w:sz w:val="20"/>
      <w:szCs w:val="20"/>
      <w:u w:val="none"/>
    </w:rPr>
  </w:style>
  <w:style w:type="character" w:customStyle="1" w:styleId="366">
    <w:name w:val="street-address"/>
    <w:qFormat/>
    <w:uiPriority w:val="0"/>
  </w:style>
  <w:style w:type="character" w:customStyle="1" w:styleId="367">
    <w:name w:val="注释 Char"/>
    <w:link w:val="368"/>
    <w:qFormat/>
    <w:uiPriority w:val="0"/>
    <w:rPr>
      <w:rFonts w:ascii="宋体" w:hAnsi="宋体"/>
      <w:sz w:val="21"/>
      <w:szCs w:val="21"/>
    </w:rPr>
  </w:style>
  <w:style w:type="paragraph" w:customStyle="1" w:styleId="368">
    <w:name w:val="注释"/>
    <w:basedOn w:val="1"/>
    <w:link w:val="367"/>
    <w:qFormat/>
    <w:uiPriority w:val="0"/>
    <w:pPr>
      <w:ind w:left="420" w:hanging="420"/>
      <w:jc w:val="left"/>
    </w:pPr>
    <w:rPr>
      <w:rFonts w:ascii="宋体" w:hAnsi="宋体"/>
      <w:szCs w:val="21"/>
    </w:rPr>
  </w:style>
  <w:style w:type="character" w:customStyle="1" w:styleId="369">
    <w:name w:val="标题 3 Char Char"/>
    <w:qFormat/>
    <w:uiPriority w:val="0"/>
    <w:rPr>
      <w:rFonts w:eastAsia="宋体"/>
      <w:b/>
      <w:bCs/>
      <w:sz w:val="32"/>
      <w:szCs w:val="32"/>
      <w:lang w:val="en-US" w:eastAsia="zh-CN" w:bidi="ar-SA"/>
    </w:rPr>
  </w:style>
  <w:style w:type="paragraph" w:customStyle="1" w:styleId="370">
    <w:name w:val="Char Char Char"/>
    <w:basedOn w:val="1"/>
    <w:qFormat/>
    <w:uiPriority w:val="0"/>
    <w:rPr>
      <w:rFonts w:ascii="Tahoma" w:hAnsi="Tahoma"/>
      <w:sz w:val="24"/>
      <w:szCs w:val="20"/>
    </w:rPr>
  </w:style>
  <w:style w:type="paragraph" w:customStyle="1" w:styleId="371">
    <w:name w:val="项目编号2"/>
    <w:basedOn w:val="372"/>
    <w:qFormat/>
    <w:uiPriority w:val="0"/>
    <w:pPr>
      <w:numPr>
        <w:ilvl w:val="0"/>
        <w:numId w:val="1"/>
      </w:numPr>
    </w:pPr>
  </w:style>
  <w:style w:type="paragraph" w:customStyle="1" w:styleId="372">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373">
    <w:name w:val="default"/>
    <w:basedOn w:val="1"/>
    <w:qFormat/>
    <w:uiPriority w:val="0"/>
    <w:pPr>
      <w:widowControl/>
      <w:spacing w:before="100" w:beforeAutospacing="1" w:after="100" w:afterAutospacing="1"/>
      <w:jc w:val="left"/>
    </w:pPr>
    <w:rPr>
      <w:rFonts w:ascii="宋体" w:hAnsi="宋体" w:cs="宋体"/>
      <w:sz w:val="24"/>
    </w:rPr>
  </w:style>
  <w:style w:type="paragraph" w:customStyle="1" w:styleId="374">
    <w:name w:val="Char3 Char Char Char1"/>
    <w:basedOn w:val="1"/>
    <w:qFormat/>
    <w:uiPriority w:val="0"/>
    <w:rPr>
      <w:rFonts w:ascii="Tahoma" w:hAnsi="Tahoma"/>
      <w:sz w:val="24"/>
      <w:szCs w:val="20"/>
    </w:rPr>
  </w:style>
  <w:style w:type="paragraph" w:customStyle="1" w:styleId="375">
    <w:name w:val="Char Char1"/>
    <w:basedOn w:val="264"/>
    <w:qFormat/>
    <w:uiPriority w:val="0"/>
    <w:rPr>
      <w:rFonts w:ascii="Tahoma" w:hAnsi="Tahoma"/>
      <w:sz w:val="24"/>
    </w:rPr>
  </w:style>
  <w:style w:type="paragraph" w:customStyle="1" w:styleId="37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77">
    <w:name w:val="正文缩进2"/>
    <w:basedOn w:val="1"/>
    <w:qFormat/>
    <w:uiPriority w:val="0"/>
    <w:pPr>
      <w:widowControl/>
      <w:spacing w:line="480" w:lineRule="exact"/>
      <w:ind w:firstLine="567"/>
    </w:pPr>
    <w:rPr>
      <w:rFonts w:ascii="宋体"/>
      <w:color w:val="000000"/>
      <w:sz w:val="28"/>
      <w:szCs w:val="20"/>
      <w:lang w:val="zh-CN"/>
    </w:rPr>
  </w:style>
  <w:style w:type="paragraph" w:customStyle="1" w:styleId="378">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79">
    <w:name w:val="Char Char1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380">
    <w:name w:val="xl4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381">
    <w:name w:val="font6"/>
    <w:basedOn w:val="1"/>
    <w:qFormat/>
    <w:uiPriority w:val="0"/>
    <w:pPr>
      <w:widowControl/>
      <w:spacing w:before="100" w:beforeAutospacing="1" w:after="100" w:afterAutospacing="1"/>
      <w:jc w:val="left"/>
    </w:pPr>
    <w:rPr>
      <w:rFonts w:ascii="宋体" w:hAnsi="宋体" w:cs="宋体"/>
      <w:sz w:val="20"/>
      <w:szCs w:val="20"/>
    </w:rPr>
  </w:style>
  <w:style w:type="paragraph" w:customStyle="1" w:styleId="382">
    <w:name w:val="样式2"/>
    <w:basedOn w:val="301"/>
    <w:qFormat/>
    <w:uiPriority w:val="0"/>
    <w:pPr>
      <w:spacing w:line="360" w:lineRule="auto"/>
      <w:jc w:val="center"/>
    </w:pPr>
    <w:rPr>
      <w:sz w:val="24"/>
    </w:rPr>
  </w:style>
  <w:style w:type="paragraph" w:customStyle="1" w:styleId="383">
    <w:name w:val="二级条标题"/>
    <w:basedOn w:val="38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384">
    <w:name w:val="一级条标题"/>
    <w:basedOn w:val="385"/>
    <w:next w:val="1"/>
    <w:qFormat/>
    <w:uiPriority w:val="0"/>
    <w:pPr>
      <w:numPr>
        <w:ilvl w:val="1"/>
        <w:numId w:val="0"/>
      </w:numPr>
      <w:tabs>
        <w:tab w:val="left" w:pos="360"/>
        <w:tab w:val="left" w:pos="840"/>
      </w:tabs>
      <w:ind w:left="0" w:hanging="840"/>
      <w:outlineLvl w:val="1"/>
    </w:pPr>
  </w:style>
  <w:style w:type="paragraph" w:customStyle="1" w:styleId="385">
    <w:name w:val="章标题"/>
    <w:next w:val="1"/>
    <w:qFormat/>
    <w:uiPriority w:val="0"/>
    <w:pPr>
      <w:numPr>
        <w:ilvl w:val="0"/>
        <w:numId w:val="3"/>
      </w:numPr>
      <w:spacing w:before="156" w:after="156" w:line="460" w:lineRule="exact"/>
      <w:ind w:left="0"/>
      <w:jc w:val="both"/>
      <w:outlineLvl w:val="0"/>
    </w:pPr>
    <w:rPr>
      <w:rFonts w:hint="default" w:ascii="黑体" w:hAnsi="Times New Roman" w:eastAsia="黑体" w:cs="Times New Roman"/>
      <w:b/>
      <w:sz w:val="28"/>
      <w:lang w:val="en-US" w:eastAsia="zh-CN" w:bidi="ar-SA"/>
    </w:rPr>
  </w:style>
  <w:style w:type="paragraph" w:customStyle="1" w:styleId="386">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387">
    <w:name w:val="无间隔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88">
    <w:name w:val="xl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2"/>
      <w:szCs w:val="22"/>
    </w:rPr>
  </w:style>
  <w:style w:type="paragraph" w:customStyle="1" w:styleId="389">
    <w:name w:val="正文须知-1级"/>
    <w:basedOn w:val="1"/>
    <w:next w:val="1"/>
    <w:qFormat/>
    <w:uiPriority w:val="0"/>
    <w:pPr>
      <w:numPr>
        <w:ilvl w:val="0"/>
        <w:numId w:val="4"/>
      </w:numPr>
      <w:spacing w:line="300" w:lineRule="auto"/>
    </w:pPr>
    <w:rPr>
      <w:rFonts w:ascii="宋体" w:hAnsi="Calibri"/>
      <w:sz w:val="24"/>
      <w:szCs w:val="21"/>
    </w:rPr>
  </w:style>
  <w:style w:type="paragraph" w:customStyle="1" w:styleId="390">
    <w:name w:val="样式 标题 2 + 宋体 五号 行距: 单倍行距"/>
    <w:basedOn w:val="239"/>
    <w:qFormat/>
    <w:uiPriority w:val="0"/>
    <w:pPr>
      <w:numPr>
        <w:ilvl w:val="1"/>
        <w:numId w:val="5"/>
      </w:numPr>
      <w:spacing w:before="260" w:after="260" w:line="240" w:lineRule="auto"/>
      <w:jc w:val="left"/>
    </w:pPr>
    <w:rPr>
      <w:rFonts w:ascii="宋体" w:hAnsi="宋体" w:eastAsia="宋体"/>
      <w:bCs/>
      <w:sz w:val="21"/>
    </w:rPr>
  </w:style>
  <w:style w:type="paragraph" w:customStyle="1" w:styleId="391">
    <w:name w:val="默认"/>
    <w:qFormat/>
    <w:uiPriority w:val="0"/>
    <w:pPr>
      <w:framePr w:wrap="around" w:vAnchor="margin" w:hAnchor="text" w:y="1"/>
    </w:pPr>
    <w:rPr>
      <w:rFonts w:hint="eastAsia" w:ascii="Arial Unicode MS" w:hAnsi="Arial Unicode MS" w:eastAsia="Helvetica" w:cs="Arial Unicode MS"/>
      <w:color w:val="000000"/>
      <w:sz w:val="22"/>
      <w:szCs w:val="22"/>
      <w:lang w:val="zh-TW" w:eastAsia="zh-TW" w:bidi="ar-SA"/>
    </w:rPr>
  </w:style>
  <w:style w:type="paragraph" w:customStyle="1" w:styleId="392">
    <w:name w:val="正文段"/>
    <w:basedOn w:val="1"/>
    <w:qFormat/>
    <w:uiPriority w:val="0"/>
    <w:pPr>
      <w:widowControl/>
      <w:ind w:firstLine="200"/>
    </w:pPr>
    <w:rPr>
      <w:sz w:val="24"/>
      <w:szCs w:val="20"/>
    </w:rPr>
  </w:style>
  <w:style w:type="paragraph" w:customStyle="1" w:styleId="393">
    <w:name w:val="图中文字"/>
    <w:basedOn w:val="1"/>
    <w:qFormat/>
    <w:uiPriority w:val="0"/>
    <w:pPr>
      <w:spacing w:line="0" w:lineRule="atLeast"/>
      <w:jc w:val="center"/>
    </w:pPr>
    <w:rPr>
      <w:sz w:val="24"/>
      <w:szCs w:val="20"/>
    </w:rPr>
  </w:style>
  <w:style w:type="paragraph" w:customStyle="1" w:styleId="394">
    <w:name w:val="xl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16"/>
      <w:szCs w:val="16"/>
    </w:rPr>
  </w:style>
  <w:style w:type="paragraph" w:customStyle="1" w:styleId="395">
    <w:name w:val="Char1 Char Char Char1"/>
    <w:basedOn w:val="1"/>
    <w:qFormat/>
    <w:uiPriority w:val="0"/>
    <w:rPr>
      <w:rFonts w:ascii="Tahoma" w:hAnsi="Tahoma" w:cs="仿宋_GB2312"/>
      <w:sz w:val="24"/>
      <w:szCs w:val="28"/>
    </w:rPr>
  </w:style>
  <w:style w:type="paragraph" w:customStyle="1" w:styleId="396">
    <w:name w:val="Char"/>
    <w:basedOn w:val="1"/>
    <w:qFormat/>
    <w:uiPriority w:val="0"/>
    <w:pPr>
      <w:tabs>
        <w:tab w:val="left" w:pos="360"/>
      </w:tabs>
    </w:pPr>
    <w:rPr>
      <w:sz w:val="24"/>
    </w:rPr>
  </w:style>
  <w:style w:type="paragraph" w:customStyle="1" w:styleId="397">
    <w:name w:val="PlainText1"/>
    <w:basedOn w:val="1"/>
    <w:qFormat/>
    <w:uiPriority w:val="99"/>
    <w:rPr>
      <w:rFonts w:ascii="宋体" w:hAnsi="Courier New"/>
    </w:rPr>
  </w:style>
  <w:style w:type="paragraph" w:customStyle="1" w:styleId="398">
    <w:name w:val="Char Char4"/>
    <w:basedOn w:val="1"/>
    <w:qFormat/>
    <w:uiPriority w:val="0"/>
    <w:pPr>
      <w:widowControl/>
      <w:spacing w:line="400" w:lineRule="exact"/>
      <w:jc w:val="center"/>
    </w:pPr>
  </w:style>
  <w:style w:type="paragraph" w:customStyle="1" w:styleId="399">
    <w:name w:val="xl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b/>
      <w:bCs/>
      <w:color w:val="000000"/>
      <w:sz w:val="20"/>
      <w:szCs w:val="20"/>
    </w:rPr>
  </w:style>
  <w:style w:type="paragraph" w:customStyle="1" w:styleId="400">
    <w:name w:val="Char Char Char1 Char1"/>
    <w:basedOn w:val="1"/>
    <w:qFormat/>
    <w:uiPriority w:val="0"/>
    <w:rPr>
      <w:rFonts w:ascii="Tahoma" w:hAnsi="Tahoma"/>
      <w:sz w:val="24"/>
      <w:szCs w:val="20"/>
    </w:rPr>
  </w:style>
  <w:style w:type="paragraph" w:customStyle="1" w:styleId="401">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02">
    <w:name w:val="样式4"/>
    <w:basedOn w:val="1"/>
    <w:qFormat/>
    <w:uiPriority w:val="0"/>
    <w:rPr>
      <w:sz w:val="24"/>
    </w:rPr>
  </w:style>
  <w:style w:type="paragraph" w:customStyle="1" w:styleId="403">
    <w:name w:val="background1"/>
    <w:basedOn w:val="1"/>
    <w:qFormat/>
    <w:uiPriority w:val="0"/>
    <w:pPr>
      <w:widowControl/>
      <w:spacing w:before="100" w:beforeAutospacing="1" w:after="100" w:afterAutospacing="1"/>
      <w:jc w:val="left"/>
    </w:pPr>
    <w:rPr>
      <w:rFonts w:ascii="宋体" w:hAnsi="宋体" w:cs="宋体"/>
      <w:sz w:val="24"/>
    </w:rPr>
  </w:style>
  <w:style w:type="paragraph" w:customStyle="1" w:styleId="404">
    <w:name w:val="三级条标题"/>
    <w:basedOn w:val="383"/>
    <w:next w:val="1"/>
    <w:qFormat/>
    <w:uiPriority w:val="0"/>
    <w:pPr>
      <w:numPr>
        <w:ilvl w:val="3"/>
        <w:numId w:val="3"/>
      </w:numPr>
      <w:ind w:left="0" w:hanging="840"/>
      <w:outlineLvl w:val="3"/>
    </w:pPr>
  </w:style>
  <w:style w:type="paragraph" w:customStyle="1" w:styleId="40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06">
    <w:name w:val="无标题条"/>
    <w:next w:val="1"/>
    <w:qFormat/>
    <w:uiPriority w:val="0"/>
    <w:pPr>
      <w:jc w:val="both"/>
    </w:pPr>
    <w:rPr>
      <w:rFonts w:hint="default" w:ascii="Times New Roman" w:hAnsi="Times New Roman" w:eastAsia="宋体" w:cs="Times New Roman"/>
      <w:sz w:val="21"/>
      <w:lang w:val="en-US" w:eastAsia="zh-CN" w:bidi="ar-SA"/>
    </w:rPr>
  </w:style>
  <w:style w:type="paragraph" w:customStyle="1" w:styleId="407">
    <w:name w:val="font7"/>
    <w:basedOn w:val="1"/>
    <w:qFormat/>
    <w:uiPriority w:val="0"/>
    <w:pPr>
      <w:widowControl/>
      <w:spacing w:before="100" w:beforeAutospacing="1" w:after="100" w:afterAutospacing="1"/>
      <w:jc w:val="left"/>
    </w:pPr>
    <w:rPr>
      <w:rFonts w:eastAsia="Arial Unicode MS"/>
      <w:b/>
      <w:bCs/>
      <w:color w:val="000000"/>
      <w:sz w:val="20"/>
      <w:szCs w:val="20"/>
    </w:rPr>
  </w:style>
  <w:style w:type="paragraph" w:customStyle="1" w:styleId="408">
    <w:name w:val="Char22"/>
    <w:basedOn w:val="1"/>
    <w:qFormat/>
    <w:uiPriority w:val="0"/>
    <w:rPr>
      <w:rFonts w:ascii="Tahoma" w:hAnsi="Tahoma"/>
      <w:sz w:val="24"/>
      <w:szCs w:val="20"/>
    </w:rPr>
  </w:style>
  <w:style w:type="paragraph" w:customStyle="1" w:styleId="409">
    <w:name w:val="font9"/>
    <w:basedOn w:val="1"/>
    <w:qFormat/>
    <w:uiPriority w:val="0"/>
    <w:pPr>
      <w:widowControl/>
      <w:spacing w:before="100" w:beforeAutospacing="1" w:after="100" w:afterAutospacing="1"/>
      <w:jc w:val="left"/>
    </w:pPr>
    <w:rPr>
      <w:rFonts w:hint="eastAsia" w:ascii="宋体" w:hAnsi="宋体" w:cs="Arial Unicode MS"/>
      <w:color w:val="000000"/>
      <w:sz w:val="20"/>
      <w:szCs w:val="20"/>
    </w:rPr>
  </w:style>
  <w:style w:type="paragraph" w:customStyle="1" w:styleId="410">
    <w:name w:val="四级条标题"/>
    <w:basedOn w:val="404"/>
    <w:next w:val="1"/>
    <w:qFormat/>
    <w:uiPriority w:val="0"/>
    <w:pPr>
      <w:numPr>
        <w:ilvl w:val="4"/>
        <w:numId w:val="0"/>
      </w:numPr>
      <w:ind w:left="0" w:hanging="840"/>
      <w:outlineLvl w:val="4"/>
    </w:pPr>
  </w:style>
  <w:style w:type="paragraph" w:customStyle="1" w:styleId="411">
    <w:name w:val="xl23"/>
    <w:basedOn w:val="1"/>
    <w:qFormat/>
    <w:uiPriority w:val="0"/>
    <w:pPr>
      <w:widowControl/>
      <w:spacing w:before="100" w:beforeAutospacing="1" w:after="100" w:afterAutospacing="1" w:line="360" w:lineRule="auto"/>
    </w:pPr>
    <w:rPr>
      <w:sz w:val="24"/>
      <w:szCs w:val="20"/>
    </w:rPr>
  </w:style>
  <w:style w:type="paragraph" w:customStyle="1" w:styleId="412">
    <w:name w:val="Char Char Char Char Char Char Char1"/>
    <w:basedOn w:val="1"/>
    <w:qFormat/>
    <w:uiPriority w:val="0"/>
    <w:pPr>
      <w:spacing w:line="360" w:lineRule="auto"/>
      <w:ind w:firstLine="200"/>
    </w:pPr>
    <w:rPr>
      <w:rFonts w:eastAsia="仿宋_GB2312"/>
      <w:sz w:val="24"/>
    </w:rPr>
  </w:style>
  <w:style w:type="paragraph" w:customStyle="1" w:styleId="413">
    <w:name w:val="Char Char Char Char Char Char Char Char Char Char"/>
    <w:basedOn w:val="1"/>
    <w:qFormat/>
    <w:uiPriority w:val="0"/>
  </w:style>
  <w:style w:type="paragraph" w:customStyle="1" w:styleId="414">
    <w:name w:val="Char1"/>
    <w:basedOn w:val="1"/>
    <w:qFormat/>
    <w:uiPriority w:val="0"/>
    <w:pPr>
      <w:tabs>
        <w:tab w:val="left" w:pos="360"/>
      </w:tabs>
    </w:pPr>
    <w:rPr>
      <w:sz w:val="24"/>
    </w:rPr>
  </w:style>
  <w:style w:type="paragraph" w:customStyle="1" w:styleId="415">
    <w:name w:val="xl5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b/>
      <w:bCs/>
      <w:color w:val="000000"/>
      <w:sz w:val="20"/>
      <w:szCs w:val="20"/>
    </w:rPr>
  </w:style>
  <w:style w:type="paragraph" w:customStyle="1" w:styleId="416">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417">
    <w:name w:val="xl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2"/>
      <w:szCs w:val="22"/>
    </w:rPr>
  </w:style>
  <w:style w:type="paragraph" w:customStyle="1" w:styleId="418">
    <w:name w:val="xl46"/>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19">
    <w:name w:val="项目符号1"/>
    <w:basedOn w:val="420"/>
    <w:qFormat/>
    <w:uiPriority w:val="0"/>
    <w:pPr>
      <w:ind w:left="-25" w:firstLine="0"/>
    </w:pPr>
  </w:style>
  <w:style w:type="paragraph" w:customStyle="1" w:styleId="420">
    <w:name w:val="正文文本样式"/>
    <w:basedOn w:val="1"/>
    <w:qFormat/>
    <w:uiPriority w:val="0"/>
    <w:pPr>
      <w:spacing w:line="360" w:lineRule="auto"/>
      <w:ind w:firstLine="482"/>
    </w:pPr>
    <w:rPr>
      <w:rFonts w:cs="宋体"/>
      <w:sz w:val="24"/>
      <w:szCs w:val="20"/>
    </w:rPr>
  </w:style>
  <w:style w:type="paragraph" w:customStyle="1" w:styleId="421">
    <w:name w:val="列出段落11"/>
    <w:basedOn w:val="1"/>
    <w:qFormat/>
    <w:uiPriority w:val="0"/>
    <w:pPr>
      <w:ind w:firstLine="420"/>
    </w:pPr>
    <w:rPr>
      <w:rFonts w:ascii="Calibri" w:hAnsi="Calibri"/>
      <w:szCs w:val="22"/>
    </w:rPr>
  </w:style>
  <w:style w:type="paragraph" w:customStyle="1" w:styleId="422">
    <w:name w:val="列出段落2"/>
    <w:basedOn w:val="1"/>
    <w:qFormat/>
    <w:uiPriority w:val="0"/>
    <w:pPr>
      <w:ind w:firstLine="420"/>
    </w:pPr>
    <w:rPr>
      <w:rFonts w:ascii="Calibri" w:hAnsi="Calibri"/>
      <w:szCs w:val="22"/>
    </w:rPr>
  </w:style>
  <w:style w:type="paragraph" w:customStyle="1" w:styleId="423">
    <w:name w:val="_Style 160"/>
    <w:qFormat/>
    <w:uiPriority w:val="0"/>
    <w:rPr>
      <w:rFonts w:hint="default" w:ascii="Times New Roman" w:hAnsi="Times New Roman" w:eastAsia="宋体" w:cs="Times New Roman"/>
      <w:sz w:val="21"/>
      <w:szCs w:val="24"/>
      <w:lang w:val="en-US" w:eastAsia="zh-CN" w:bidi="ar-SA"/>
    </w:rPr>
  </w:style>
  <w:style w:type="paragraph" w:customStyle="1" w:styleId="424">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FF6600"/>
      <w:sz w:val="20"/>
      <w:szCs w:val="20"/>
    </w:rPr>
  </w:style>
  <w:style w:type="paragraph" w:customStyle="1" w:styleId="425">
    <w:name w:val="Char Char Char Char Char Char Char Char Char Char Char Char Char Char Char Char"/>
    <w:basedOn w:val="1"/>
    <w:qFormat/>
    <w:uiPriority w:val="0"/>
    <w:pPr>
      <w:widowControl/>
      <w:spacing w:after="160" w:line="240" w:lineRule="exact"/>
      <w:jc w:val="center"/>
    </w:pPr>
    <w:rPr>
      <w:rFonts w:ascii="宋体" w:hAnsi="宋体"/>
      <w:b/>
      <w:sz w:val="30"/>
      <w:szCs w:val="30"/>
      <w:lang w:eastAsia="en-US"/>
    </w:rPr>
  </w:style>
  <w:style w:type="paragraph" w:customStyle="1" w:styleId="426">
    <w:name w:val="1 Char Char Char Char"/>
    <w:basedOn w:val="1"/>
    <w:qFormat/>
    <w:uiPriority w:val="0"/>
    <w:rPr>
      <w:rFonts w:ascii="Tahoma" w:hAnsi="Tahoma"/>
      <w:sz w:val="24"/>
      <w:szCs w:val="20"/>
    </w:rPr>
  </w:style>
  <w:style w:type="paragraph" w:customStyle="1" w:styleId="427">
    <w:name w:val="正文列项_数字"/>
    <w:basedOn w:val="1"/>
    <w:qFormat/>
    <w:uiPriority w:val="0"/>
    <w:pPr>
      <w:numPr>
        <w:ilvl w:val="7"/>
        <w:numId w:val="3"/>
      </w:numPr>
      <w:tabs>
        <w:tab w:val="clear" w:pos="860"/>
      </w:tabs>
      <w:spacing w:line="460" w:lineRule="exact"/>
      <w:ind w:left="680" w:hanging="150"/>
      <w:outlineLvl w:val="7"/>
    </w:pPr>
    <w:rPr>
      <w:rFonts w:ascii="宋体"/>
      <w:sz w:val="28"/>
      <w:szCs w:val="20"/>
    </w:rPr>
  </w:style>
  <w:style w:type="paragraph" w:customStyle="1" w:styleId="428">
    <w:name w:val="标题1-附件"/>
    <w:basedOn w:val="238"/>
    <w:qFormat/>
    <w:uiPriority w:val="0"/>
    <w:pPr>
      <w:jc w:val="left"/>
    </w:pPr>
    <w:rPr>
      <w:sz w:val="24"/>
      <w:szCs w:val="24"/>
    </w:rPr>
  </w:style>
  <w:style w:type="paragraph" w:customStyle="1" w:styleId="429">
    <w:name w:val="正文文本样式 加粗"/>
    <w:basedOn w:val="420"/>
    <w:qFormat/>
    <w:uiPriority w:val="0"/>
    <w:rPr>
      <w:b/>
    </w:rPr>
  </w:style>
  <w:style w:type="paragraph" w:customStyle="1" w:styleId="430">
    <w:name w:val="Char Char41"/>
    <w:basedOn w:val="1"/>
    <w:qFormat/>
    <w:uiPriority w:val="0"/>
    <w:pPr>
      <w:widowControl/>
      <w:spacing w:line="400" w:lineRule="exact"/>
      <w:jc w:val="center"/>
    </w:pPr>
  </w:style>
  <w:style w:type="paragraph" w:customStyle="1" w:styleId="431">
    <w:name w:val="Char Char Char1"/>
    <w:basedOn w:val="1"/>
    <w:qFormat/>
    <w:uiPriority w:val="0"/>
    <w:rPr>
      <w:rFonts w:ascii="Tahoma" w:hAnsi="Tahoma"/>
      <w:sz w:val="24"/>
      <w:szCs w:val="20"/>
    </w:rPr>
  </w:style>
  <w:style w:type="paragraph" w:customStyle="1" w:styleId="432">
    <w:name w:val="Char Char Char Char Char Char Char Char Char Char1"/>
    <w:basedOn w:val="1"/>
    <w:qFormat/>
    <w:uiPriority w:val="0"/>
    <w:rPr>
      <w:rFonts w:ascii="宋体" w:hAnsi="宋体" w:cs="Courier New"/>
      <w:sz w:val="32"/>
      <w:szCs w:val="32"/>
    </w:rPr>
  </w:style>
  <w:style w:type="paragraph" w:customStyle="1" w:styleId="433">
    <w:name w:val="Char3 Char Char Char"/>
    <w:basedOn w:val="1"/>
    <w:qFormat/>
    <w:uiPriority w:val="0"/>
    <w:rPr>
      <w:rFonts w:ascii="Tahoma" w:hAnsi="Tahoma"/>
      <w:sz w:val="24"/>
      <w:szCs w:val="20"/>
    </w:rPr>
  </w:style>
  <w:style w:type="paragraph" w:customStyle="1" w:styleId="434">
    <w:name w:val="图文"/>
    <w:basedOn w:val="1"/>
    <w:qFormat/>
    <w:uiPriority w:val="0"/>
    <w:pPr>
      <w:spacing w:after="50" w:line="360" w:lineRule="auto"/>
    </w:pPr>
    <w:rPr>
      <w:sz w:val="24"/>
    </w:rPr>
  </w:style>
  <w:style w:type="paragraph" w:customStyle="1" w:styleId="435">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sz w:val="20"/>
      <w:szCs w:val="20"/>
    </w:rPr>
  </w:style>
  <w:style w:type="paragraph" w:customStyle="1" w:styleId="436">
    <w:name w:val="表格文字"/>
    <w:basedOn w:val="270"/>
    <w:qFormat/>
    <w:uiPriority w:val="0"/>
    <w:pPr>
      <w:spacing w:before="20" w:after="20" w:line="240" w:lineRule="auto"/>
      <w:ind w:firstLine="0"/>
    </w:pPr>
    <w:rPr>
      <w:rFonts w:ascii="Century Gothic" w:hAnsi="Century Gothic"/>
      <w:sz w:val="20"/>
      <w:szCs w:val="20"/>
    </w:rPr>
  </w:style>
  <w:style w:type="paragraph" w:customStyle="1" w:styleId="437">
    <w:name w:val="font8"/>
    <w:basedOn w:val="1"/>
    <w:qFormat/>
    <w:uiPriority w:val="0"/>
    <w:pPr>
      <w:widowControl/>
      <w:spacing w:before="100" w:beforeAutospacing="1" w:after="100" w:afterAutospacing="1"/>
      <w:jc w:val="left"/>
    </w:pPr>
    <w:rPr>
      <w:sz w:val="36"/>
      <w:szCs w:val="36"/>
    </w:rPr>
  </w:style>
  <w:style w:type="paragraph" w:customStyle="1" w:styleId="438">
    <w:name w:val="xl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39">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sz w:val="20"/>
      <w:szCs w:val="20"/>
    </w:rPr>
  </w:style>
  <w:style w:type="paragraph" w:customStyle="1" w:styleId="44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41">
    <w:name w:val="项目编号3"/>
    <w:basedOn w:val="420"/>
    <w:qFormat/>
    <w:uiPriority w:val="0"/>
    <w:pPr>
      <w:numPr>
        <w:ilvl w:val="0"/>
        <w:numId w:val="6"/>
      </w:numPr>
    </w:pPr>
  </w:style>
  <w:style w:type="paragraph" w:customStyle="1" w:styleId="442">
    <w:name w:val="Char Char Char Char Char Char Char Char Char Char Char Char Char Char Char Char1"/>
    <w:basedOn w:val="1"/>
    <w:qFormat/>
    <w:uiPriority w:val="0"/>
    <w:pPr>
      <w:widowControl/>
      <w:spacing w:after="160" w:line="240" w:lineRule="exact"/>
      <w:jc w:val="center"/>
    </w:pPr>
    <w:rPr>
      <w:rFonts w:ascii="宋体" w:hAnsi="宋体"/>
      <w:b/>
      <w:sz w:val="30"/>
      <w:szCs w:val="30"/>
      <w:lang w:eastAsia="en-US"/>
    </w:rPr>
  </w:style>
  <w:style w:type="paragraph" w:customStyle="1" w:styleId="443">
    <w:name w:val="Default"/>
    <w:qFormat/>
    <w:uiPriority w:val="0"/>
    <w:pPr>
      <w:widowControl w:val="0"/>
    </w:pPr>
    <w:rPr>
      <w:rFonts w:hint="default" w:ascii="Symbol" w:hAnsi="Symbol" w:eastAsia="宋体" w:cs="Symbol"/>
      <w:color w:val="000000"/>
      <w:sz w:val="24"/>
      <w:szCs w:val="24"/>
      <w:lang w:val="en-US" w:eastAsia="zh-CN" w:bidi="ar-SA"/>
    </w:rPr>
  </w:style>
  <w:style w:type="paragraph" w:customStyle="1" w:styleId="444">
    <w:name w:val="xl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32"/>
      <w:szCs w:val="32"/>
    </w:rPr>
  </w:style>
  <w:style w:type="paragraph" w:customStyle="1" w:styleId="445">
    <w:name w:val="xl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46">
    <w:name w:val="xl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eastAsia="Arial Unicode MS"/>
      <w:color w:val="000000"/>
      <w:sz w:val="20"/>
      <w:szCs w:val="20"/>
    </w:rPr>
  </w:style>
  <w:style w:type="paragraph" w:customStyle="1" w:styleId="447">
    <w:name w:val="Char3 Char Char Char2"/>
    <w:basedOn w:val="1"/>
    <w:qFormat/>
    <w:uiPriority w:val="0"/>
    <w:rPr>
      <w:rFonts w:ascii="Tahoma" w:hAnsi="Tahoma"/>
      <w:sz w:val="24"/>
      <w:szCs w:val="20"/>
    </w:rPr>
  </w:style>
  <w:style w:type="paragraph" w:customStyle="1" w:styleId="448">
    <w:name w:val="1名"/>
    <w:basedOn w:val="1"/>
    <w:qFormat/>
    <w:uiPriority w:val="0"/>
    <w:pPr>
      <w:numPr>
        <w:ilvl w:val="0"/>
        <w:numId w:val="7"/>
      </w:numPr>
      <w:spacing w:before="120"/>
    </w:pPr>
    <w:rPr>
      <w:rFonts w:ascii="宋体"/>
      <w:sz w:val="28"/>
      <w:szCs w:val="20"/>
    </w:rPr>
  </w:style>
  <w:style w:type="paragraph" w:customStyle="1" w:styleId="449">
    <w:name w:val="五级条标题"/>
    <w:basedOn w:val="410"/>
    <w:next w:val="1"/>
    <w:qFormat/>
    <w:uiPriority w:val="0"/>
    <w:pPr>
      <w:numPr>
        <w:ilvl w:val="5"/>
        <w:numId w:val="0"/>
      </w:numPr>
      <w:ind w:left="0" w:hanging="840"/>
      <w:outlineLvl w:val="5"/>
    </w:pPr>
  </w:style>
  <w:style w:type="paragraph" w:customStyle="1" w:styleId="450">
    <w:name w:val="22222222222222"/>
    <w:basedOn w:val="1"/>
    <w:qFormat/>
    <w:uiPriority w:val="0"/>
    <w:pPr>
      <w:widowControl/>
      <w:spacing w:line="360" w:lineRule="auto"/>
      <w:ind w:firstLine="480"/>
      <w:jc w:val="left"/>
    </w:pPr>
    <w:rPr>
      <w:color w:val="FF0000"/>
      <w:sz w:val="24"/>
      <w:szCs w:val="20"/>
    </w:rPr>
  </w:style>
  <w:style w:type="paragraph" w:customStyle="1" w:styleId="451">
    <w:name w:val="Char Char Char1 Char2"/>
    <w:basedOn w:val="1"/>
    <w:qFormat/>
    <w:uiPriority w:val="0"/>
    <w:rPr>
      <w:rFonts w:ascii="Tahoma" w:hAnsi="Tahoma"/>
      <w:sz w:val="24"/>
      <w:szCs w:val="20"/>
    </w:rPr>
  </w:style>
  <w:style w:type="paragraph" w:customStyle="1" w:styleId="452">
    <w:name w:val="Char Char Char Char Char Char Char2"/>
    <w:basedOn w:val="1"/>
    <w:qFormat/>
    <w:uiPriority w:val="0"/>
    <w:pPr>
      <w:spacing w:line="360" w:lineRule="auto"/>
      <w:ind w:firstLine="200"/>
    </w:pPr>
    <w:rPr>
      <w:rFonts w:eastAsia="仿宋_GB2312"/>
      <w:sz w:val="24"/>
    </w:rPr>
  </w:style>
  <w:style w:type="paragraph" w:customStyle="1" w:styleId="45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54">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Arial Unicode MS" w:hAnsi="Arial Unicode MS" w:eastAsia="Arial Unicode MS" w:cs="Arial Unicode MS"/>
      <w:color w:val="000000"/>
      <w:sz w:val="20"/>
      <w:szCs w:val="20"/>
    </w:rPr>
  </w:style>
  <w:style w:type="paragraph" w:customStyle="1" w:styleId="455">
    <w:name w:val="正文文本缩进2"/>
    <w:basedOn w:val="1"/>
    <w:qFormat/>
    <w:uiPriority w:val="0"/>
    <w:pPr>
      <w:spacing w:line="480" w:lineRule="exact"/>
      <w:ind w:firstLine="480"/>
    </w:pPr>
    <w:rPr>
      <w:rFonts w:ascii="宋体" w:hAnsi="宋体"/>
      <w:sz w:val="24"/>
      <w:lang w:val="zh-CN"/>
    </w:rPr>
  </w:style>
  <w:style w:type="paragraph" w:customStyle="1" w:styleId="456">
    <w:name w:val="Char Char Char1 Char"/>
    <w:basedOn w:val="1"/>
    <w:qFormat/>
    <w:uiPriority w:val="0"/>
    <w:rPr>
      <w:rFonts w:ascii="Tahoma" w:hAnsi="Tahoma"/>
      <w:sz w:val="24"/>
      <w:szCs w:val="20"/>
    </w:rPr>
  </w:style>
  <w:style w:type="paragraph" w:customStyle="1" w:styleId="457">
    <w:name w:val="Char3"/>
    <w:basedOn w:val="1"/>
    <w:qFormat/>
    <w:uiPriority w:val="0"/>
    <w:pPr>
      <w:tabs>
        <w:tab w:val="left" w:pos="360"/>
      </w:tabs>
    </w:pPr>
    <w:rPr>
      <w:sz w:val="24"/>
    </w:rPr>
  </w:style>
  <w:style w:type="paragraph" w:customStyle="1" w:styleId="458">
    <w:name w:val="??"/>
    <w:qFormat/>
    <w:uiPriority w:val="0"/>
    <w:pPr>
      <w:widowControl w:val="0"/>
      <w:jc w:val="both"/>
    </w:pPr>
    <w:rPr>
      <w:rFonts w:hint="default" w:ascii="Times New Roman" w:hAnsi="Times New Roman" w:eastAsia="宋体" w:cs="Times New Roman"/>
      <w:sz w:val="21"/>
      <w:lang w:val="en-US" w:eastAsia="en-US" w:bidi="ar-SA"/>
    </w:rPr>
  </w:style>
  <w:style w:type="paragraph" w:customStyle="1" w:styleId="459">
    <w:name w:val="字元 字元1"/>
    <w:basedOn w:val="1"/>
    <w:qFormat/>
    <w:uiPriority w:val="0"/>
    <w:rPr>
      <w:rFonts w:ascii="Tahoma" w:hAnsi="Tahoma"/>
      <w:sz w:val="24"/>
      <w:szCs w:val="20"/>
    </w:rPr>
  </w:style>
  <w:style w:type="paragraph" w:customStyle="1" w:styleId="460">
    <w:name w:val="正文 + 宋体"/>
    <w:basedOn w:val="1"/>
    <w:qFormat/>
    <w:uiPriority w:val="0"/>
    <w:pPr>
      <w:widowControl/>
      <w:ind w:left="360" w:hanging="360"/>
      <w:jc w:val="left"/>
    </w:pPr>
    <w:rPr>
      <w:rFonts w:ascii="宋体" w:hAnsi="宋体" w:cs="宋体"/>
      <w:b/>
      <w:bCs/>
      <w:color w:val="000000"/>
      <w:sz w:val="18"/>
      <w:szCs w:val="18"/>
    </w:rPr>
  </w:style>
  <w:style w:type="paragraph" w:customStyle="1" w:styleId="461">
    <w:name w:val="表格1"/>
    <w:basedOn w:val="1"/>
    <w:qFormat/>
    <w:uiPriority w:val="0"/>
    <w:pPr>
      <w:ind w:firstLine="480"/>
      <w:jc w:val="center"/>
    </w:pPr>
    <w:rPr>
      <w:sz w:val="24"/>
      <w:szCs w:val="20"/>
    </w:rPr>
  </w:style>
  <w:style w:type="paragraph" w:customStyle="1" w:styleId="462">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2"/>
      <w:szCs w:val="22"/>
    </w:rPr>
  </w:style>
  <w:style w:type="paragraph" w:customStyle="1" w:styleId="463">
    <w:name w:val="字元 字元"/>
    <w:basedOn w:val="1"/>
    <w:qFormat/>
    <w:uiPriority w:val="0"/>
    <w:rPr>
      <w:rFonts w:ascii="Tahoma" w:hAnsi="Tahoma"/>
      <w:sz w:val="24"/>
      <w:szCs w:val="20"/>
    </w:rPr>
  </w:style>
  <w:style w:type="paragraph" w:customStyle="1" w:styleId="464">
    <w:name w:val="Char21"/>
    <w:basedOn w:val="1"/>
    <w:qFormat/>
    <w:uiPriority w:val="0"/>
    <w:rPr>
      <w:rFonts w:ascii="Tahoma" w:hAnsi="Tahoma"/>
      <w:sz w:val="24"/>
      <w:szCs w:val="20"/>
    </w:rPr>
  </w:style>
  <w:style w:type="paragraph" w:customStyle="1" w:styleId="465">
    <w:name w:val="正文 + 楷体_GB2312"/>
    <w:basedOn w:val="1"/>
    <w:qFormat/>
    <w:uiPriority w:val="0"/>
    <w:pPr>
      <w:widowControl/>
      <w:jc w:val="left"/>
    </w:pPr>
    <w:rPr>
      <w:rFonts w:ascii="楷体_GB2312" w:eastAsia="楷体_GB2312" w:cs="Arial"/>
      <w:sz w:val="24"/>
    </w:rPr>
  </w:style>
  <w:style w:type="paragraph" w:customStyle="1" w:styleId="466">
    <w:name w:val="Char2 Char Char Char Char Char Char"/>
    <w:basedOn w:val="1"/>
    <w:qFormat/>
    <w:uiPriority w:val="0"/>
    <w:pPr>
      <w:widowControl/>
      <w:spacing w:line="400" w:lineRule="exact"/>
      <w:jc w:val="center"/>
    </w:pPr>
  </w:style>
  <w:style w:type="paragraph" w:customStyle="1" w:styleId="467">
    <w:name w:val="字元 字元2"/>
    <w:basedOn w:val="1"/>
    <w:qFormat/>
    <w:uiPriority w:val="0"/>
    <w:rPr>
      <w:rFonts w:ascii="Tahoma" w:hAnsi="Tahoma"/>
      <w:sz w:val="24"/>
      <w:szCs w:val="20"/>
    </w:rPr>
  </w:style>
  <w:style w:type="paragraph" w:customStyle="1" w:styleId="468">
    <w:name w:val="xl4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s="Arial Unicode MS"/>
      <w:color w:val="000000"/>
      <w:sz w:val="20"/>
      <w:szCs w:val="20"/>
    </w:rPr>
  </w:style>
  <w:style w:type="paragraph" w:customStyle="1" w:styleId="469">
    <w:name w:val="Char Char Char2"/>
    <w:basedOn w:val="1"/>
    <w:qFormat/>
    <w:uiPriority w:val="0"/>
    <w:rPr>
      <w:rFonts w:ascii="Tahoma" w:hAnsi="Tahoma"/>
      <w:sz w:val="24"/>
      <w:szCs w:val="20"/>
    </w:rPr>
  </w:style>
  <w:style w:type="paragraph" w:customStyle="1" w:styleId="470">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sz w:val="20"/>
      <w:szCs w:val="20"/>
    </w:rPr>
  </w:style>
  <w:style w:type="paragraph" w:customStyle="1" w:styleId="471">
    <w:name w:val="缺省文本"/>
    <w:basedOn w:val="1"/>
    <w:qFormat/>
    <w:uiPriority w:val="0"/>
    <w:pPr>
      <w:jc w:val="left"/>
    </w:pPr>
    <w:rPr>
      <w:sz w:val="24"/>
    </w:rPr>
  </w:style>
  <w:style w:type="paragraph" w:customStyle="1" w:styleId="472">
    <w:name w:val="Char2"/>
    <w:basedOn w:val="1"/>
    <w:qFormat/>
    <w:uiPriority w:val="0"/>
    <w:rPr>
      <w:rFonts w:ascii="Tahoma" w:hAnsi="Tahoma"/>
      <w:sz w:val="24"/>
      <w:szCs w:val="20"/>
    </w:rPr>
  </w:style>
  <w:style w:type="paragraph" w:customStyle="1" w:styleId="473">
    <w:name w:val="xl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16"/>
      <w:szCs w:val="16"/>
    </w:rPr>
  </w:style>
  <w:style w:type="paragraph" w:customStyle="1" w:styleId="474">
    <w:name w:val="xl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sz w:val="20"/>
      <w:szCs w:val="20"/>
    </w:rPr>
  </w:style>
  <w:style w:type="paragraph" w:customStyle="1" w:styleId="475">
    <w:name w:val="正文列项_字母"/>
    <w:basedOn w:val="1"/>
    <w:qFormat/>
    <w:uiPriority w:val="0"/>
    <w:pPr>
      <w:numPr>
        <w:ilvl w:val="6"/>
        <w:numId w:val="3"/>
      </w:numPr>
      <w:tabs>
        <w:tab w:val="clear" w:pos="635"/>
      </w:tabs>
      <w:spacing w:line="460" w:lineRule="exact"/>
      <w:ind w:left="480" w:hanging="180"/>
      <w:outlineLvl w:val="6"/>
    </w:pPr>
    <w:rPr>
      <w:rFonts w:ascii="宋体"/>
      <w:sz w:val="28"/>
      <w:szCs w:val="20"/>
    </w:rPr>
  </w:style>
  <w:style w:type="paragraph" w:customStyle="1" w:styleId="476">
    <w:name w:val="Char2 Char Char Char Char Char Char1"/>
    <w:basedOn w:val="1"/>
    <w:qFormat/>
    <w:uiPriority w:val="0"/>
    <w:pPr>
      <w:widowControl/>
      <w:spacing w:line="400" w:lineRule="exact"/>
      <w:jc w:val="center"/>
    </w:pPr>
  </w:style>
  <w:style w:type="paragraph" w:customStyle="1" w:styleId="477">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color w:val="000000"/>
      <w:sz w:val="20"/>
      <w:szCs w:val="20"/>
    </w:rPr>
  </w:style>
  <w:style w:type="paragraph" w:customStyle="1" w:styleId="478">
    <w:name w:val="正文须知-3级"/>
    <w:basedOn w:val="1"/>
    <w:qFormat/>
    <w:uiPriority w:val="0"/>
    <w:pPr>
      <w:numPr>
        <w:ilvl w:val="2"/>
        <w:numId w:val="4"/>
      </w:numPr>
      <w:spacing w:line="300" w:lineRule="auto"/>
      <w:ind w:hanging="355"/>
    </w:pPr>
    <w:rPr>
      <w:rFonts w:ascii="宋体" w:hAnsi="Calibri"/>
      <w:sz w:val="24"/>
      <w:szCs w:val="21"/>
    </w:rPr>
  </w:style>
  <w:style w:type="paragraph" w:customStyle="1" w:styleId="479">
    <w:name w:val="默认段落字体 Para Char Char Char Char"/>
    <w:basedOn w:val="1"/>
    <w:qFormat/>
    <w:uiPriority w:val="0"/>
    <w:rPr>
      <w:rFonts w:ascii="Arial" w:hAnsi="Arial" w:cs="Arial"/>
      <w:szCs w:val="21"/>
    </w:rPr>
  </w:style>
  <w:style w:type="paragraph" w:customStyle="1" w:styleId="480">
    <w:name w:val="Table Paragraph"/>
    <w:basedOn w:val="1"/>
    <w:qFormat/>
    <w:uiPriority w:val="1"/>
    <w:pPr>
      <w:jc w:val="left"/>
    </w:pPr>
    <w:rPr>
      <w:rFonts w:ascii="宋体" w:hAnsi="宋体" w:cs="宋体"/>
      <w:sz w:val="22"/>
      <w:szCs w:val="22"/>
      <w:lang w:eastAsia="en-US"/>
    </w:rPr>
  </w:style>
  <w:style w:type="paragraph" w:customStyle="1" w:styleId="481">
    <w:name w:val="修订1"/>
    <w:qFormat/>
    <w:uiPriority w:val="0"/>
    <w:rPr>
      <w:rFonts w:hint="default" w:ascii="Times New Roman" w:hAnsi="Times New Roman" w:eastAsia="宋体" w:cs="Times New Roman"/>
      <w:sz w:val="21"/>
      <w:szCs w:val="24"/>
      <w:lang w:val="en-US" w:eastAsia="zh-CN" w:bidi="ar-SA"/>
    </w:rPr>
  </w:style>
  <w:style w:type="paragraph" w:customStyle="1" w:styleId="482">
    <w:name w:val="xl45"/>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sz w:val="20"/>
      <w:szCs w:val="20"/>
    </w:rPr>
  </w:style>
  <w:style w:type="paragraph" w:customStyle="1" w:styleId="483">
    <w:name w:val="Char Char1 Char Char 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84">
    <w:name w:val="文档正文"/>
    <w:basedOn w:val="1"/>
    <w:qFormat/>
    <w:uiPriority w:val="0"/>
    <w:pPr>
      <w:spacing w:before="120" w:after="120" w:line="180" w:lineRule="auto"/>
    </w:pPr>
    <w:rPr>
      <w:rFonts w:ascii="Arial" w:hAnsi="Arial"/>
      <w:szCs w:val="20"/>
    </w:rPr>
  </w:style>
  <w:style w:type="paragraph" w:customStyle="1" w:styleId="485">
    <w:name w:val="样式 宋体 五号 行距: 单倍行距"/>
    <w:basedOn w:val="1"/>
    <w:qFormat/>
    <w:uiPriority w:val="0"/>
    <w:pPr>
      <w:jc w:val="left"/>
    </w:pPr>
    <w:rPr>
      <w:rFonts w:ascii="宋体" w:hAnsi="宋体"/>
      <w:szCs w:val="20"/>
    </w:rPr>
  </w:style>
  <w:style w:type="paragraph" w:customStyle="1" w:styleId="486">
    <w:name w:val="Char Char Char Char Char Char Char Char Char Char2"/>
    <w:basedOn w:val="1"/>
    <w:qFormat/>
    <w:uiPriority w:val="0"/>
    <w:rPr>
      <w:rFonts w:ascii="宋体" w:hAnsi="宋体" w:cs="Courier New"/>
      <w:sz w:val="32"/>
      <w:szCs w:val="32"/>
    </w:rPr>
  </w:style>
  <w:style w:type="paragraph" w:customStyle="1" w:styleId="487">
    <w:name w:val="修订2"/>
    <w:qFormat/>
    <w:uiPriority w:val="99"/>
    <w:rPr>
      <w:rFonts w:hint="default" w:ascii="Times New Roman" w:hAnsi="Times New Roman" w:eastAsia="宋体" w:cs="Times New Roman"/>
      <w:sz w:val="21"/>
      <w:szCs w:val="24"/>
      <w:lang w:val="en-US" w:eastAsia="zh-CN" w:bidi="ar-SA"/>
    </w:rPr>
  </w:style>
  <w:style w:type="paragraph" w:customStyle="1" w:styleId="488">
    <w:name w:val="正文须知-2级"/>
    <w:basedOn w:val="1"/>
    <w:qFormat/>
    <w:uiPriority w:val="0"/>
    <w:pPr>
      <w:numPr>
        <w:ilvl w:val="1"/>
        <w:numId w:val="4"/>
      </w:numPr>
      <w:spacing w:line="300" w:lineRule="auto"/>
    </w:pPr>
    <w:rPr>
      <w:rFonts w:ascii="宋体" w:hAnsi="Calibri"/>
      <w:sz w:val="24"/>
      <w:szCs w:val="21"/>
    </w:rPr>
  </w:style>
  <w:style w:type="paragraph" w:customStyle="1" w:styleId="489">
    <w:name w:val="xl4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sz w:val="24"/>
    </w:rPr>
  </w:style>
  <w:style w:type="paragraph" w:customStyle="1" w:styleId="490">
    <w:name w:val="Char Char Char Char Char Char Char"/>
    <w:basedOn w:val="1"/>
    <w:qFormat/>
    <w:uiPriority w:val="0"/>
    <w:pPr>
      <w:spacing w:line="360" w:lineRule="auto"/>
      <w:ind w:firstLine="200"/>
    </w:pPr>
    <w:rPr>
      <w:rFonts w:eastAsia="仿宋_GB2312"/>
      <w:sz w:val="24"/>
    </w:rPr>
  </w:style>
  <w:style w:type="paragraph" w:customStyle="1" w:styleId="491">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492">
    <w:name w:val="图例"/>
    <w:basedOn w:val="1"/>
    <w:qFormat/>
    <w:uiPriority w:val="0"/>
    <w:pPr>
      <w:spacing w:before="120" w:after="120" w:line="360" w:lineRule="auto"/>
      <w:jc w:val="center"/>
    </w:pPr>
    <w:rPr>
      <w:rFonts w:eastAsia="仿宋_GB2312"/>
      <w:b/>
      <w:sz w:val="24"/>
      <w:szCs w:val="20"/>
    </w:rPr>
  </w:style>
  <w:style w:type="paragraph" w:customStyle="1" w:styleId="493">
    <w:name w:val="List Paragraph1"/>
    <w:basedOn w:val="1"/>
    <w:qFormat/>
    <w:uiPriority w:val="0"/>
    <w:pPr>
      <w:ind w:firstLine="420"/>
    </w:pPr>
    <w:rPr>
      <w:rFonts w:ascii="Calibri" w:hAnsi="Calibri"/>
      <w:szCs w:val="22"/>
    </w:rPr>
  </w:style>
  <w:style w:type="paragraph" w:customStyle="1" w:styleId="494">
    <w:name w:val="列表段落2"/>
    <w:basedOn w:val="1"/>
    <w:qFormat/>
    <w:uiPriority w:val="99"/>
    <w:pPr>
      <w:ind w:firstLine="420"/>
    </w:pPr>
    <w:rPr>
      <w:rFonts w:ascii="宋体" w:hAnsi="宋体" w:cs="宋体"/>
      <w:sz w:val="20"/>
      <w:szCs w:val="20"/>
    </w:rPr>
  </w:style>
  <w:style w:type="table" w:customStyle="1" w:styleId="495">
    <w:name w:val="Table Normal"/>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496">
    <w:name w:val="_Style 6"/>
    <w:basedOn w:val="1"/>
    <w:next w:val="338"/>
    <w:qFormat/>
    <w:uiPriority w:val="34"/>
    <w:pPr>
      <w:ind w:firstLine="420"/>
    </w:pPr>
    <w:rPr>
      <w:rFonts w:ascii="Calibri" w:hAnsi="Calibri"/>
      <w:szCs w:val="22"/>
    </w:rPr>
  </w:style>
  <w:style w:type="paragraph" w:customStyle="1" w:styleId="497">
    <w:name w:val="正文_1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498">
    <w:name w:val="正文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499">
    <w:name w:val="正文缩进11"/>
    <w:basedOn w:val="1"/>
    <w:next w:val="1"/>
    <w:qFormat/>
    <w:uiPriority w:val="0"/>
    <w:pPr>
      <w:ind w:firstLine="420"/>
      <w:jc w:val="left"/>
    </w:pPr>
    <w:rPr>
      <w:rFonts w:ascii="宋体"/>
      <w:sz w:val="24"/>
    </w:rPr>
  </w:style>
  <w:style w:type="paragraph" w:customStyle="1" w:styleId="500">
    <w:name w:val="批注框文本1"/>
    <w:basedOn w:val="1"/>
    <w:qFormat/>
    <w:uiPriority w:val="0"/>
    <w:rPr>
      <w:sz w:val="18"/>
      <w:szCs w:val="18"/>
    </w:rPr>
  </w:style>
  <w:style w:type="paragraph" w:customStyle="1" w:styleId="501">
    <w:name w:val="☆ 正文"/>
    <w:qFormat/>
    <w:uiPriority w:val="0"/>
    <w:pPr>
      <w:widowControl w:val="0"/>
      <w:jc w:val="both"/>
    </w:pPr>
    <w:rPr>
      <w:rFonts w:hint="default" w:ascii="Calibri" w:hAnsi="Calibri" w:eastAsia="宋体" w:cs="Times New Roman"/>
      <w:sz w:val="21"/>
      <w:szCs w:val="22"/>
      <w:lang w:val="en-US" w:eastAsia="zh-CN" w:bidi="ar-SA"/>
    </w:rPr>
  </w:style>
  <w:style w:type="paragraph" w:customStyle="1" w:styleId="502">
    <w:name w:val="段"/>
    <w:next w:val="1"/>
    <w:qFormat/>
    <w:uiPriority w:val="0"/>
    <w:pPr>
      <w:ind w:firstLine="200"/>
      <w:jc w:val="both"/>
    </w:pPr>
    <w:rPr>
      <w:rFonts w:hint="default" w:ascii="宋体" w:hAnsi="Times New Roman" w:eastAsia="宋体" w:cs="Times New Roman"/>
      <w:sz w:val="21"/>
      <w:lang w:val="en-US" w:eastAsia="zh-CN" w:bidi="ar-SA"/>
    </w:rPr>
  </w:style>
  <w:style w:type="paragraph" w:customStyle="1" w:styleId="503">
    <w:name w:val="Normal_20_0"/>
    <w:qFormat/>
    <w:uiPriority w:val="0"/>
    <w:pPr>
      <w:widowControl w:val="0"/>
      <w:jc w:val="both"/>
    </w:pPr>
    <w:rPr>
      <w:rFonts w:hint="default" w:ascii="Calibri" w:hAnsi="Calibri" w:eastAsia="宋体" w:cs="Times New Roman"/>
      <w:szCs w:val="24"/>
      <w:lang w:val="en-US" w:eastAsia="zh-CN" w:bidi="ar-SA"/>
    </w:rPr>
  </w:style>
  <w:style w:type="paragraph" w:customStyle="1" w:styleId="504">
    <w:name w:val="修订3"/>
    <w:qFormat/>
    <w:uiPriority w:val="99"/>
    <w:rPr>
      <w:rFonts w:hint="default" w:ascii="Times New Roman" w:hAnsi="Times New Roman" w:eastAsia="宋体" w:cs="Times New Roman"/>
      <w:sz w:val="21"/>
      <w:szCs w:val="24"/>
      <w:lang w:val="en-US" w:eastAsia="zh-CN" w:bidi="ar-SA"/>
    </w:rPr>
  </w:style>
  <w:style w:type="paragraph" w:customStyle="1" w:styleId="505">
    <w:name w:val="首行缩进"/>
    <w:basedOn w:val="1"/>
    <w:qFormat/>
    <w:uiPriority w:val="0"/>
    <w:pPr>
      <w:ind w:firstLine="480"/>
    </w:pPr>
    <w:rPr>
      <w:rFonts w:ascii="Calibri" w:hAnsi="Calibri"/>
      <w:lang w:val="zh-CN"/>
    </w:rPr>
  </w:style>
  <w:style w:type="paragraph" w:customStyle="1" w:styleId="506">
    <w:name w:val="WPSOffice手动目录 1"/>
    <w:qFormat/>
    <w:uiPriority w:val="0"/>
    <w:rPr>
      <w:rFonts w:hint="default" w:ascii="Times New Roman" w:hAnsi="Times New Roman" w:eastAsia="宋体" w:cs="Times New Roman"/>
      <w:lang w:val="en-US" w:eastAsia="zh-CN" w:bidi="ar-SA"/>
    </w:rPr>
  </w:style>
  <w:style w:type="character" w:customStyle="1" w:styleId="507">
    <w:name w:val="批注框文本 Char"/>
    <w:basedOn w:val="40"/>
    <w:link w:val="23"/>
    <w:qFormat/>
    <w:uiPriority w:val="99"/>
    <w:rPr>
      <w:sz w:val="18"/>
      <w:szCs w:val="18"/>
    </w:rPr>
  </w:style>
  <w:style w:type="character" w:customStyle="1" w:styleId="508">
    <w:name w:val="owl-numbers"/>
    <w:basedOn w:val="40"/>
    <w:qFormat/>
    <w:uiPriority w:val="0"/>
    <w:rPr>
      <w:color w:val="FFFFFF"/>
      <w:sz w:val="12"/>
      <w:szCs w:val="12"/>
    </w:rPr>
  </w:style>
  <w:style w:type="paragraph" w:customStyle="1" w:styleId="509">
    <w:name w:val="正文1"/>
    <w:basedOn w:val="1"/>
    <w:qFormat/>
    <w:uiPriority w:val="0"/>
    <w:pPr>
      <w:widowControl/>
      <w:spacing w:before="120" w:after="120"/>
      <w:ind w:firstLine="200"/>
      <w:contextualSpacing/>
      <w:jc w:val="left"/>
    </w:pPr>
    <w:rPr>
      <w:rFonts w:eastAsia="Adobe 仿宋 Std R"/>
      <w:sz w:val="20"/>
      <w:szCs w:val="21"/>
    </w:rPr>
  </w:style>
  <w:style w:type="paragraph" w:customStyle="1" w:styleId="510">
    <w:name w:val="Table Text"/>
    <w:basedOn w:val="1"/>
    <w:semiHidden/>
    <w:qFormat/>
    <w:uiPriority w:val="0"/>
    <w:rPr>
      <w:rFonts w:ascii="宋体" w:hAnsi="宋体" w:eastAsia="宋体" w:cs="宋体"/>
      <w:sz w:val="20"/>
      <w:szCs w:val="20"/>
      <w:lang w:val="en-US" w:eastAsia="en-US" w:bidi="ar-SA"/>
    </w:rPr>
  </w:style>
  <w:style w:type="paragraph" w:customStyle="1" w:styleId="511">
    <w:name w:val="纯文本11"/>
    <w:basedOn w:val="1"/>
    <w:next w:val="499"/>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Company>
  <Pages>57</Pages>
  <Words>17187</Words>
  <Characters>17988</Characters>
  <TotalTime>115</TotalTime>
  <ScaleCrop>false</ScaleCrop>
  <LinksUpToDate>false</LinksUpToDate>
  <CharactersWithSpaces>18166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2024-06-13T07:27:00Z</dcterms:created>
  <dc:creator>Yin</dc:creator>
  <cp:lastModifiedBy>Administrator</cp:lastModifiedBy>
  <dcterms:modified xsi:type="dcterms:W3CDTF">2025-09-16T08:40:40Z</dcterms:modified>
  <dc:title>02年杜</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C754E5F9EC404A568C365448879D2DD5_13</vt:lpwstr>
  </property>
  <property fmtid="{D5CDD505-2E9C-101B-9397-08002B2CF9AE}" pid="4" name="KSOTemplateDocerSaveRecord">
    <vt:lpwstr>eyJoZGlkIjoiY2U0ZGI1NzA1MWQwNzYxNjA2MWNmNzJhM2JiOTFhMjYiLCJ1c2VySWQiOiIyOTQ2NTM1OTUifQ==</vt:lpwstr>
  </property>
</Properties>
</file>