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、项目概况</w:t>
      </w:r>
      <w:bookmarkStart w:id="0" w:name="_Toc295737705"/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常州市解放路小学游泳馆拥有4道非标泳池，男女淋浴间各一间，已配备水处理等设备，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需提供完善的运营方案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配套的实施团队等所有服务；配合采购单位将场馆运营产生利润的40%用于学校场馆提升、器材采购等专项支出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bookmarkEnd w:id="0"/>
    <w:p>
      <w:pPr>
        <w:tabs>
          <w:tab w:val="left" w:pos="576"/>
        </w:tabs>
        <w:adjustRightInd/>
        <w:snapToGrid/>
        <w:spacing w:line="360" w:lineRule="auto"/>
        <w:jc w:val="left"/>
        <w:outlineLvl w:val="0"/>
        <w:rPr>
          <w:rFonts w:hint="default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运营要求：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1、场馆只针对青少年进行培训，不得对外开放（不得以收费的形式向成人提供开放）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2、提供普及课程之余，做好相关培训工作。做到较大的培训规模、良好的教学评价、优质的服务等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3、解小优秀教职工子女游泳培训提供优惠政策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4、负责场馆教练员（培训部分）、救生员、水处理、医务人员、前台工作人员和</w:t>
      </w:r>
      <w:r>
        <w:rPr>
          <w:rFonts w:hint="eastAsia" w:ascii="仿宋" w:hAnsi="仿宋" w:eastAsia="仿宋" w:cs="仿宋"/>
          <w:bCs w:val="0"/>
          <w:color w:val="auto"/>
          <w:sz w:val="24"/>
          <w:szCs w:val="24"/>
          <w:highlight w:val="none"/>
          <w:lang w:val="en-US" w:eastAsia="zh-CN"/>
        </w:rPr>
        <w:t>保安、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保洁等相关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所有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人员费用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5、负责项目训练、培训等运营所需的宣传和部分训练器材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、将场馆运营产生利润的40%用于学校场馆提升、器材采购等专项支出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利润由采购单位或第三方财务公司审核后确认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、为解小相关赛事、活动提供相应保障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、负责场馆内相关设备的维修保养工作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、服从解小的管理，遵守解小所有相关制度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before="0"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、全面承担场馆运营期间的安全责任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tabs>
          <w:tab w:val="left" w:pos="576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11、帮助学校搭建校园赛事平台；</w:t>
      </w:r>
    </w:p>
    <w:p>
      <w:pPr>
        <w:tabs>
          <w:tab w:val="left" w:pos="576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12、引进市教育系统品牌的赛事及活动；</w:t>
      </w:r>
    </w:p>
    <w:p>
      <w:pPr>
        <w:tabs>
          <w:tab w:val="left" w:pos="576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13、收费标准符合当地物价局要求及采购单位要求；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14、服务期间，出现事故或其他安全事故，或其工作人员发生经济纠纷、安全责任事故或意外事故，由此产生的一切经济损失和法律责任由供应商负责；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15、本项目实施单位的法定代表人及主要负责人为中国国籍。</w:t>
      </w:r>
    </w:p>
    <w:p>
      <w:pPr>
        <w:tabs>
          <w:tab w:val="left" w:pos="576"/>
        </w:tabs>
        <w:adjustRightInd/>
        <w:snapToGrid/>
        <w:spacing w:line="360" w:lineRule="auto"/>
        <w:jc w:val="left"/>
        <w:outlineLvl w:val="0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、服务期限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tabs>
          <w:tab w:val="left" w:pos="576"/>
        </w:tabs>
        <w:adjustRightInd/>
        <w:snapToGrid/>
        <w:spacing w:line="360" w:lineRule="auto"/>
        <w:ind w:firstLine="420" w:firstLineChars="200"/>
        <w:jc w:val="left"/>
        <w:outlineLvl w:val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服务期限叁年（时间以合同签订时间为准）。</w:t>
      </w:r>
    </w:p>
    <w:p>
      <w:pPr>
        <w:tabs>
          <w:tab w:val="left" w:pos="576"/>
        </w:tabs>
        <w:spacing w:line="360" w:lineRule="auto"/>
        <w:ind w:firstLine="0" w:firstLineChars="0"/>
        <w:jc w:val="left"/>
        <w:outlineLvl w:val="0"/>
        <w:rPr>
          <w:rFonts w:hint="default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委托运营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方式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：固定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比例投入</w:t>
      </w:r>
    </w:p>
    <w:p>
      <w:pPr>
        <w:tabs>
          <w:tab w:val="left" w:pos="576"/>
        </w:tabs>
        <w:adjustRightInd/>
        <w:snapToGrid/>
        <w:spacing w:line="360" w:lineRule="auto"/>
        <w:ind w:firstLine="480" w:firstLineChars="200"/>
        <w:outlineLvl w:val="0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本项目报价为固定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投入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比例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供应商提供的服务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包括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但不限于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竞争性磋商采购文件所确定的的采购范围内服务所需要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游泳馆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的运营、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策划、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执行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、人工、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教练、救援、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保险、安全、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利润、税金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eastAsia="zh-CN"/>
        </w:rPr>
        <w:t>等一切费用，以及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  <w:lang w:val="en-US" w:eastAsia="zh-CN"/>
        </w:rPr>
        <w:t>配合采购单位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u w:val="none"/>
        </w:rPr>
        <w:t>将场馆运营产生利润的40%用于学校场馆提升、器材采购等专项支出。</w:t>
      </w:r>
    </w:p>
    <w:p>
      <w:pPr>
        <w:tabs>
          <w:tab w:val="left" w:pos="576"/>
        </w:tabs>
        <w:adjustRightInd/>
        <w:snapToGrid/>
        <w:spacing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、付款及结算方式：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项目年度结算，每年运营期满后，供应商将所有费用清单上报学校审核，经学校及相关部门审核无异议后，结算年度款项。</w:t>
      </w:r>
    </w:p>
    <w:p>
      <w:pPr>
        <w:tabs>
          <w:tab w:val="left" w:pos="576"/>
        </w:tabs>
        <w:spacing w:line="360" w:lineRule="auto"/>
        <w:jc w:val="left"/>
        <w:outlineLvl w:val="0"/>
        <w:rPr>
          <w:rFonts w:hint="eastAsia" w:ascii="仿宋" w:hAnsi="仿宋" w:eastAsia="仿宋"/>
          <w:b/>
          <w:color w:val="auto"/>
          <w:sz w:val="44"/>
          <w:szCs w:val="21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、项目预算价：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本项目为固定投入比例，无报价。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Q3ODEzYmUzMzRmODZkNzdlNmYzMjRlNjIzMWUifQ=="/>
  </w:docVars>
  <w:rsids>
    <w:rsidRoot w:val="10BC639A"/>
    <w:rsid w:val="10B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2023-05-29T11:52:00Z</dcterms:created>
  <dc:creator>左学文</dc:creator>
  <cp:lastModifiedBy>左学文</cp:lastModifiedBy>
  <dcterms:modified xsi:type="dcterms:W3CDTF">2023-05-29T11:54:17Z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ED4D4E1CEE864B6FB2D659219B83B699_11</vt:lpwstr>
  </property>
</Properties>
</file>