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一、项目内容：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溧阳市人民医院医院标识制作服务项目，包括相应产品供货前的准备（包括现场踏勘、技术核对等）、产品设计、制造、采购、运输、装卸、安装、调试、技术指导培训、检验、质保期及维保服务等全部内容。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宋体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本项目拟选取3家中标单位。</w:t>
      </w:r>
    </w:p>
    <w:p>
      <w:pPr>
        <w:spacing w:line="360" w:lineRule="auto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二、预估年度采购清单及要求：</w:t>
      </w:r>
    </w:p>
    <w:tbl>
      <w:tblPr>
        <w:tblStyle w:val="4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383"/>
        <w:gridCol w:w="2983"/>
        <w:gridCol w:w="1376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84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医院标识清单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规格、材质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预估数量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全费用单价限价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户外写真雪弗板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  <w:t>3mm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130元/㎡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170元/㎡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户外写真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KT贴板或车贴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</w:t>
            </w:r>
            <w:bookmarkStart w:id="7" w:name="_GoBack"/>
            <w:bookmarkEnd w:id="7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印刷类：单页（数码印刷）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300g铜版纸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单面5元/张，双面10元/张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A4/157g铜版纸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440元/1000张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印刷类：三折页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157g铜版纸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480元/1000张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印刷类：四折页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157g铜版纸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560元/1000张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可移车贴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覆膜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85元/㎡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地贴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可移车贴覆地板膜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160元/㎡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可移透明车贴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光膜双层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磨砂膜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0.6mm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反光膜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工程级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单片包括画面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绶带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常规尺寸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油画布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台签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KT材质，展开尺寸35*45cm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35元/个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医生、护士姓名插卡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双色板，雕刻UV  13*4cm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3.8元/个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横幅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5米以内，门幅70cm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5米以上，门幅70cm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旗帜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130元/条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24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26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展示器材：X展架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80*180cm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55元/只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27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展示器材：海报架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不锈钢80*120cm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175元/只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28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不锈钢60*90cm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29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展示器材：易拉宝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80*200cm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展示器材：立牌海报架双面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铝合金80*180cm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255元/个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31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雕刻类：亚克力立体雕刻字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3mm有色亚克力+5mm透明亚克力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520元/㎡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32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雕刻类：制度牌亚克力40*60cm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5mm亚克力倒边+10mmpvc雪弗板,激光雕刻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33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雕刻类：制度牌亚克力60*90cm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5mm亚克力倒边+11mmpvc雪弗板,激光雕刻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240元/块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34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亚克力科室牌25*25cm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5mm亚克力丝印倒边+10mmpvc雪弗板,激光雕刻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35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亚克力门牌18*12cm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5mm亚克力丝印倒边+10mmpvc雪弗板,激光雕刻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病房门牌带型材插槽22*30cm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5mm亚克力丝印倒边+10mmpvc雪弗板,激光雕刻,型材插槽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37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袖套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40*15cm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311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38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铜牌40*60cm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不锈钢折边+高清UV/丝印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280元/块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39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桁架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焊接桁架+带斜撑，含绑绳等辅材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65/㎡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桁架画面（喷绘布），含扎带、铁丝等捆绑辅材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520喷绘布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41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550喷绘布(白底)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42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550喷绘布(黑底)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20/㎡</w:t>
            </w:r>
          </w:p>
        </w:tc>
      </w:tr>
    </w:tbl>
    <w:p>
      <w:pPr>
        <w:tabs>
          <w:tab w:val="left" w:pos="900"/>
        </w:tabs>
        <w:spacing w:line="360" w:lineRule="auto"/>
        <w:ind w:firstLine="420" w:firstLineChars="200"/>
        <w:rPr>
          <w:color w:val="auto"/>
          <w:highlight w:val="none"/>
        </w:rPr>
      </w:pPr>
    </w:p>
    <w:p>
      <w:pPr>
        <w:tabs>
          <w:tab w:val="left" w:pos="900"/>
        </w:tabs>
        <w:spacing w:line="360" w:lineRule="auto"/>
        <w:ind w:firstLine="482" w:firstLineChars="200"/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</w:rPr>
        <w:t>注：本项目报价为固定下浮率，包括所提供服务的人工费、设计费、制作费、安装费、运输费、资料费、制作费、印刷费（晒图费）、税费等一切费用和磋商文件所要求的相关服务等全部内容。</w:t>
      </w:r>
    </w:p>
    <w:p>
      <w:pPr>
        <w:pStyle w:val="2"/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</w:rPr>
        <w:t>政策性文件规定及合同包含的所有风险、责任和磋商文件所要求的相关服务等全部内容，磋商报价为最终报价，除非因特殊原因并经买卖双方协商同意，供应商不得再要求追加任何费用。同时，除非合同条款中另有规定，否则，供应商所报价格在合同响应、实施期间不因市场变化因素而变动。</w:t>
      </w:r>
    </w:p>
    <w:p>
      <w:pPr>
        <w:pStyle w:val="6"/>
        <w:spacing w:line="420" w:lineRule="exact"/>
        <w:ind w:firstLine="482" w:firstLineChars="200"/>
        <w:rPr>
          <w:rFonts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报价举例：如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  <w:lang w:val="en-US" w:eastAsia="zh-CN"/>
        </w:rPr>
        <w:t>某家单位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报价下浮率为5.35%（保留二位小数），清单序号1户外写真雪弗板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3mm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具体单价即为：100元/㎡*（1-5.35%）=94.65元/㎡（保留二位小数）。</w:t>
      </w:r>
    </w:p>
    <w:p>
      <w:pPr>
        <w:spacing w:line="500" w:lineRule="exact"/>
        <w:rPr>
          <w:color w:val="auto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三、交货期：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具体时间按每次采购单位通知后的要求。</w:t>
      </w:r>
    </w:p>
    <w:p>
      <w:pPr>
        <w:numPr>
          <w:ilvl w:val="255"/>
          <w:numId w:val="0"/>
        </w:numPr>
        <w:spacing w:line="500" w:lineRule="exact"/>
        <w:jc w:val="left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四、质保期：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免费质保期</w:t>
      </w:r>
      <w:r>
        <w:rPr>
          <w:rFonts w:ascii="仿宋" w:hAnsi="仿宋" w:eastAsia="仿宋"/>
          <w:color w:val="auto"/>
          <w:sz w:val="24"/>
          <w:highlight w:val="none"/>
        </w:rPr>
        <w:t>1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</w:p>
    <w:p>
      <w:pPr>
        <w:tabs>
          <w:tab w:val="left" w:pos="900"/>
        </w:tabs>
        <w:spacing w:line="360" w:lineRule="auto"/>
        <w:jc w:val="left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五、承包合同方式：</w:t>
      </w:r>
    </w:p>
    <w:p>
      <w:pPr>
        <w:spacing w:line="500" w:lineRule="exact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固定全费用综合单价，按实结算。</w:t>
      </w:r>
    </w:p>
    <w:p>
      <w:pPr>
        <w:spacing w:line="500" w:lineRule="exact"/>
        <w:jc w:val="left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bookmarkStart w:id="0" w:name="_Toc17288"/>
      <w:bookmarkStart w:id="1" w:name="_Toc20154"/>
      <w:bookmarkStart w:id="2" w:name="_Toc1032"/>
      <w:bookmarkStart w:id="3" w:name="_Toc19823"/>
      <w:bookmarkStart w:id="4" w:name="_Toc31233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六、验收考核：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采购单位根据磋商文件及相关国家规范标准进行验收，如出现</w:t>
      </w:r>
      <w:r>
        <w:rPr>
          <w:rFonts w:ascii="仿宋" w:hAnsi="仿宋" w:eastAsia="仿宋"/>
          <w:color w:val="auto"/>
          <w:sz w:val="24"/>
          <w:highlight w:val="none"/>
        </w:rPr>
        <w:t>3</w:t>
      </w:r>
      <w:r>
        <w:rPr>
          <w:rFonts w:hint="eastAsia" w:ascii="仿宋" w:hAnsi="仿宋" w:eastAsia="仿宋"/>
          <w:color w:val="auto"/>
          <w:sz w:val="24"/>
          <w:highlight w:val="none"/>
        </w:rPr>
        <w:t>次不能完成或未按时完成任务要求，将减少工作派单。</w:t>
      </w:r>
    </w:p>
    <w:bookmarkEnd w:id="0"/>
    <w:bookmarkEnd w:id="1"/>
    <w:bookmarkEnd w:id="2"/>
    <w:bookmarkEnd w:id="3"/>
    <w:bookmarkEnd w:id="4"/>
    <w:p>
      <w:pPr>
        <w:spacing w:line="360" w:lineRule="auto"/>
        <w:jc w:val="left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bookmarkStart w:id="5" w:name="_Toc8548"/>
      <w:bookmarkStart w:id="6" w:name="_Toc15053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七、售后服务要求</w:t>
      </w:r>
      <w:bookmarkEnd w:id="5"/>
      <w:bookmarkEnd w:id="6"/>
    </w:p>
    <w:p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对于一些影响业主正常使用的急修项目，要求立即到场维修。</w:t>
      </w:r>
    </w:p>
    <w:p>
      <w:pPr>
        <w:tabs>
          <w:tab w:val="left" w:pos="266"/>
        </w:tabs>
        <w:spacing w:line="500" w:lineRule="exact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八、付款方式：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合同签订后，按制作安装验收合格开具增值税专用发票（附采购单位签字确认的工作量清单经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审核</w:t>
      </w:r>
      <w:r>
        <w:rPr>
          <w:rFonts w:hint="eastAsia" w:ascii="仿宋" w:hAnsi="仿宋" w:eastAsia="仿宋"/>
          <w:color w:val="auto"/>
          <w:sz w:val="24"/>
          <w:highlight w:val="none"/>
        </w:rPr>
        <w:t>合格后）。</w:t>
      </w:r>
    </w:p>
    <w:p>
      <w:pPr>
        <w:tabs>
          <w:tab w:val="left" w:pos="266"/>
        </w:tabs>
        <w:spacing w:line="500" w:lineRule="exact"/>
        <w:jc w:val="left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九、项目预算价、最高限价：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预算金额：人民币25万元/年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本项目最高限价：本项目按下浮率招标，供应商的报价下浮率不得低于0%，否则作为无效响应处理。</w:t>
      </w:r>
    </w:p>
    <w:p>
      <w:pPr>
        <w:sectPr>
          <w:footerReference r:id="rId3" w:type="default"/>
          <w:pgSz w:w="11906" w:h="16838"/>
          <w:pgMar w:top="1134" w:right="1134" w:bottom="1134" w:left="1418" w:header="851" w:footer="992" w:gutter="0"/>
          <w:pgNumType w:fmt="decimal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Cs w:val="21"/>
      </w:rPr>
    </w:pPr>
    <w:r>
      <w:rPr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>40</w: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0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 xml:space="preserve"> 页 共 </w: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>40</w: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68856CA4"/>
    <w:rsid w:val="688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  <w:szCs w:val="20"/>
    </w:rPr>
  </w:style>
  <w:style w:type="paragraph" w:customStyle="1" w:styleId="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2023-08-01T09:04:00Z</dcterms:created>
  <dc:creator>左学文</dc:creator>
  <cp:lastModifiedBy>左学文</cp:lastModifiedBy>
  <dcterms:modified xsi:type="dcterms:W3CDTF">2023-08-01T09:06:50Z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9335F36BB06A4AE0ACDE73289262A9FB_11</vt:lpwstr>
  </property>
</Properties>
</file>