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5812"/>
        </w:tabs>
        <w:spacing w:before="1092" w:beforeLines="350" w:line="700" w:lineRule="exact"/>
        <w:ind w:right="-199"/>
        <w:jc w:val="center"/>
        <w:rPr>
          <w:rFonts w:ascii="仿宋" w:hAnsi="仿宋" w:eastAsia="仿宋"/>
          <w:b/>
          <w:color w:val="000000" w:themeColor="text1"/>
          <w:sz w:val="48"/>
          <w:szCs w:val="48"/>
          <w:highlight w:val="none"/>
          <w14:textFill>
            <w14:solidFill>
              <w14:schemeClr w14:val="tx1"/>
            </w14:solidFill>
          </w14:textFill>
        </w:rPr>
      </w:pPr>
      <w:bookmarkStart w:id="141" w:name="_GoBack"/>
      <w:r>
        <w:rPr>
          <w:rFonts w:hint="eastAsia" w:ascii="仿宋" w:hAnsi="仿宋" w:eastAsia="仿宋"/>
          <w:b/>
          <w:color w:val="000000" w:themeColor="text1"/>
          <w:sz w:val="48"/>
          <w:szCs w:val="48"/>
          <w:highlight w:val="none"/>
          <w:lang w:eastAsia="zh-CN"/>
          <w14:textFill>
            <w14:solidFill>
              <w14:schemeClr w14:val="tx1"/>
            </w14:solidFill>
          </w14:textFill>
        </w:rPr>
        <w:t>《普通高中教师专业发展的实践探索》图书出版项目</w:t>
      </w:r>
      <w:r>
        <w:rPr>
          <w:rFonts w:hint="eastAsia" w:ascii="仿宋" w:hAnsi="仿宋" w:eastAsia="仿宋"/>
          <w:b/>
          <w:color w:val="000000" w:themeColor="text1"/>
          <w:sz w:val="48"/>
          <w:szCs w:val="48"/>
          <w:highlight w:val="none"/>
          <w14:textFill>
            <w14:solidFill>
              <w14:schemeClr w14:val="tx1"/>
            </w14:solidFill>
          </w14:textFill>
        </w:rPr>
        <w:t xml:space="preserve"> </w:t>
      </w:r>
    </w:p>
    <w:p>
      <w:pPr>
        <w:tabs>
          <w:tab w:val="left" w:pos="4140"/>
          <w:tab w:val="left" w:pos="5812"/>
        </w:tabs>
        <w:spacing w:before="1092" w:beforeLines="350" w:line="500" w:lineRule="exact"/>
        <w:ind w:right="-198"/>
        <w:jc w:val="center"/>
        <w:rPr>
          <w:rFonts w:hint="eastAsia" w:ascii="仿宋" w:hAnsi="仿宋" w:eastAsia="仿宋"/>
          <w:b/>
          <w:color w:val="000000" w:themeColor="text1"/>
          <w:sz w:val="30"/>
          <w:szCs w:val="30"/>
          <w:highlight w:val="none"/>
          <w:lang w:eastAsia="zh-CN"/>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 xml:space="preserve"> 项目编号:</w:t>
      </w:r>
      <w:r>
        <w:rPr>
          <w:rFonts w:hint="eastAsia" w:ascii="仿宋" w:hAnsi="仿宋" w:eastAsia="仿宋"/>
          <w:b/>
          <w:color w:val="000000" w:themeColor="text1"/>
          <w:sz w:val="30"/>
          <w:szCs w:val="30"/>
          <w:highlight w:val="none"/>
          <w:lang w:eastAsia="zh-CN"/>
          <w14:textFill>
            <w14:solidFill>
              <w14:schemeClr w14:val="tx1"/>
            </w14:solidFill>
          </w14:textFill>
        </w:rPr>
        <w:t>ZYJS-SJ2024002</w:t>
      </w: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spacing w:after="156" w:afterLines="50"/>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竞争性谈判文件</w:t>
      </w:r>
    </w:p>
    <w:p>
      <w:pPr>
        <w:jc w:val="center"/>
        <w:rPr>
          <w:rFonts w:ascii="仿宋" w:hAnsi="仿宋" w:eastAsia="仿宋" w:cs="MingLiU"/>
          <w:b/>
          <w:color w:val="000000" w:themeColor="text1"/>
          <w:kern w:val="0"/>
          <w:sz w:val="32"/>
          <w:szCs w:val="32"/>
          <w:highlight w:val="none"/>
          <w14:textFill>
            <w14:solidFill>
              <w14:schemeClr w14:val="tx1"/>
            </w14:solidFill>
          </w14:textFill>
        </w:rPr>
      </w:pPr>
    </w:p>
    <w:p>
      <w:pPr>
        <w:jc w:val="center"/>
        <w:rPr>
          <w:rFonts w:ascii="仿宋" w:hAnsi="仿宋" w:eastAsia="仿宋"/>
          <w:b/>
          <w:color w:val="000000" w:themeColor="text1"/>
          <w:sz w:val="28"/>
          <w:szCs w:val="28"/>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MingLiU"/>
          <w:color w:val="000000" w:themeColor="text1"/>
          <w:kern w:val="0"/>
          <w:sz w:val="20"/>
          <w:szCs w:val="20"/>
          <w:highlight w:val="none"/>
          <w14:textFill>
            <w14:solidFill>
              <w14:schemeClr w14:val="tx1"/>
            </w14:solidFill>
          </w14:textFill>
        </w:rPr>
      </w:pPr>
    </w:p>
    <w:p>
      <w:pPr>
        <w:adjustRightInd w:val="0"/>
        <w:snapToGrid w:val="0"/>
        <w:spacing w:line="600" w:lineRule="exact"/>
        <w:jc w:val="left"/>
        <w:rPr>
          <w:rFonts w:ascii="仿宋" w:hAnsi="仿宋" w:eastAsia="仿宋"/>
          <w:b/>
          <w:bCs/>
          <w:color w:val="000000" w:themeColor="text1"/>
          <w:spacing w:val="40"/>
          <w:sz w:val="30"/>
          <w:szCs w:val="30"/>
          <w:highlight w:val="none"/>
          <w14:textFill>
            <w14:solidFill>
              <w14:schemeClr w14:val="tx1"/>
            </w14:solidFill>
          </w14:textFill>
        </w:rPr>
      </w:pPr>
      <w:r>
        <w:rPr>
          <w:rFonts w:hint="eastAsia" w:ascii="仿宋" w:hAnsi="仿宋" w:eastAsia="仿宋"/>
          <w:b/>
          <w:bCs/>
          <w:color w:val="000000" w:themeColor="text1"/>
          <w:spacing w:val="40"/>
          <w:sz w:val="30"/>
          <w:szCs w:val="30"/>
          <w:highlight w:val="none"/>
          <w14:textFill>
            <w14:solidFill>
              <w14:schemeClr w14:val="tx1"/>
            </w14:solidFill>
          </w14:textFill>
        </w:rPr>
        <w:t>采购人：</w:t>
      </w:r>
      <w:r>
        <w:rPr>
          <w:rFonts w:hint="eastAsia" w:ascii="仿宋" w:hAnsi="仿宋" w:eastAsia="仿宋"/>
          <w:b/>
          <w:bCs/>
          <w:color w:val="000000" w:themeColor="text1"/>
          <w:spacing w:val="40"/>
          <w:sz w:val="30"/>
          <w:szCs w:val="30"/>
          <w:highlight w:val="none"/>
          <w:lang w:eastAsia="zh-CN"/>
          <w14:textFill>
            <w14:solidFill>
              <w14:schemeClr w14:val="tx1"/>
            </w14:solidFill>
          </w14:textFill>
        </w:rPr>
        <w:t>常州市第一中学</w:t>
      </w:r>
      <w:r>
        <w:rPr>
          <w:rFonts w:hint="eastAsia" w:ascii="仿宋" w:hAnsi="仿宋" w:eastAsia="仿宋"/>
          <w:b/>
          <w:bCs/>
          <w:color w:val="000000" w:themeColor="text1"/>
          <w:spacing w:val="40"/>
          <w:sz w:val="30"/>
          <w:szCs w:val="30"/>
          <w:highlight w:val="none"/>
          <w14:textFill>
            <w14:solidFill>
              <w14:schemeClr w14:val="tx1"/>
            </w14:solidFill>
          </w14:textFill>
        </w:rPr>
        <w:t xml:space="preserve">  </w:t>
      </w:r>
    </w:p>
    <w:p>
      <w:pPr>
        <w:adjustRightInd w:val="0"/>
        <w:snapToGrid w:val="0"/>
        <w:spacing w:line="600" w:lineRule="exact"/>
        <w:rPr>
          <w:rFonts w:ascii="仿宋" w:hAnsi="仿宋" w:eastAsia="仿宋"/>
          <w:b/>
          <w:bCs/>
          <w:color w:val="000000" w:themeColor="text1"/>
          <w:spacing w:val="40"/>
          <w:sz w:val="30"/>
          <w:szCs w:val="30"/>
          <w:highlight w:val="none"/>
          <w14:textFill>
            <w14:solidFill>
              <w14:schemeClr w14:val="tx1"/>
            </w14:solidFill>
          </w14:textFill>
        </w:rPr>
      </w:pPr>
      <w:r>
        <w:rPr>
          <w:rFonts w:hint="eastAsia" w:ascii="仿宋" w:hAnsi="仿宋" w:eastAsia="仿宋"/>
          <w:b/>
          <w:bCs/>
          <w:color w:val="000000" w:themeColor="text1"/>
          <w:spacing w:val="40"/>
          <w:sz w:val="30"/>
          <w:szCs w:val="30"/>
          <w:highlight w:val="none"/>
          <w14:textFill>
            <w14:solidFill>
              <w14:schemeClr w14:val="tx1"/>
            </w14:solidFill>
          </w14:textFill>
        </w:rPr>
        <w:t>采购代理机构：常州中宇建设工程管理有限公司</w:t>
      </w:r>
    </w:p>
    <w:p>
      <w:pPr>
        <w:adjustRightInd w:val="0"/>
        <w:snapToGrid w:val="0"/>
        <w:spacing w:line="600" w:lineRule="exact"/>
        <w:rPr>
          <w:rFonts w:ascii="仿宋" w:hAnsi="仿宋" w:eastAsia="仿宋"/>
          <w:b/>
          <w:bCs/>
          <w:color w:val="000000" w:themeColor="text1"/>
          <w:spacing w:val="40"/>
          <w:sz w:val="30"/>
          <w:szCs w:val="30"/>
          <w:highlight w:val="none"/>
          <w14:textFill>
            <w14:solidFill>
              <w14:schemeClr w14:val="tx1"/>
            </w14:solidFill>
          </w14:textFill>
        </w:rPr>
      </w:pPr>
    </w:p>
    <w:p>
      <w:pPr>
        <w:adjustRightInd w:val="0"/>
        <w:snapToGrid w:val="0"/>
        <w:spacing w:line="600" w:lineRule="exact"/>
        <w:jc w:val="center"/>
        <w:rPr>
          <w:rFonts w:ascii="仿宋" w:hAnsi="仿宋" w:eastAsia="仿宋"/>
          <w:b/>
          <w:bCs/>
          <w:color w:val="000000" w:themeColor="text1"/>
          <w:spacing w:val="40"/>
          <w:sz w:val="30"/>
          <w:szCs w:val="30"/>
          <w:highlight w:val="none"/>
          <w14:textFill>
            <w14:solidFill>
              <w14:schemeClr w14:val="tx1"/>
            </w14:solidFill>
          </w14:textFill>
        </w:rPr>
      </w:pPr>
      <w:r>
        <w:rPr>
          <w:rFonts w:hint="eastAsia" w:ascii="仿宋" w:hAnsi="仿宋" w:eastAsia="仿宋"/>
          <w:b/>
          <w:bCs/>
          <w:color w:val="000000" w:themeColor="text1"/>
          <w:spacing w:val="40"/>
          <w:sz w:val="30"/>
          <w:szCs w:val="30"/>
          <w:highlight w:val="none"/>
          <w14:textFill>
            <w14:solidFill>
              <w14:schemeClr w14:val="tx1"/>
            </w14:solidFill>
          </w14:textFill>
        </w:rPr>
        <w:t>二零二</w:t>
      </w:r>
      <w:r>
        <w:rPr>
          <w:rFonts w:hint="eastAsia" w:ascii="仿宋" w:hAnsi="仿宋" w:eastAsia="仿宋"/>
          <w:b/>
          <w:bCs/>
          <w:color w:val="000000" w:themeColor="text1"/>
          <w:spacing w:val="40"/>
          <w:sz w:val="30"/>
          <w:szCs w:val="30"/>
          <w:highlight w:val="none"/>
          <w:lang w:val="en-US" w:eastAsia="zh-CN"/>
          <w14:textFill>
            <w14:solidFill>
              <w14:schemeClr w14:val="tx1"/>
            </w14:solidFill>
          </w14:textFill>
        </w:rPr>
        <w:t>四</w:t>
      </w:r>
      <w:r>
        <w:rPr>
          <w:rFonts w:hint="eastAsia" w:ascii="仿宋" w:hAnsi="仿宋" w:eastAsia="仿宋"/>
          <w:b/>
          <w:bCs/>
          <w:color w:val="000000" w:themeColor="text1"/>
          <w:spacing w:val="40"/>
          <w:sz w:val="30"/>
          <w:szCs w:val="30"/>
          <w:highlight w:val="none"/>
          <w14:textFill>
            <w14:solidFill>
              <w14:schemeClr w14:val="tx1"/>
            </w14:solidFill>
          </w14:textFill>
        </w:rPr>
        <w:t>年</w:t>
      </w:r>
      <w:r>
        <w:rPr>
          <w:rFonts w:hint="eastAsia" w:ascii="仿宋" w:hAnsi="仿宋" w:eastAsia="仿宋"/>
          <w:b/>
          <w:bCs/>
          <w:color w:val="000000" w:themeColor="text1"/>
          <w:spacing w:val="40"/>
          <w:sz w:val="30"/>
          <w:szCs w:val="30"/>
          <w:highlight w:val="none"/>
          <w:lang w:val="en-US" w:eastAsia="zh-CN"/>
          <w14:textFill>
            <w14:solidFill>
              <w14:schemeClr w14:val="tx1"/>
            </w14:solidFill>
          </w14:textFill>
        </w:rPr>
        <w:t>二</w:t>
      </w:r>
      <w:r>
        <w:rPr>
          <w:rFonts w:hint="eastAsia" w:ascii="仿宋" w:hAnsi="仿宋" w:eastAsia="仿宋"/>
          <w:b/>
          <w:bCs/>
          <w:color w:val="000000" w:themeColor="text1"/>
          <w:spacing w:val="40"/>
          <w:sz w:val="30"/>
          <w:szCs w:val="30"/>
          <w:highlight w:val="none"/>
          <w14:textFill>
            <w14:solidFill>
              <w14:schemeClr w14:val="tx1"/>
            </w14:solidFill>
          </w14:textFill>
        </w:rPr>
        <w:t>月</w:t>
      </w:r>
    </w:p>
    <w:p>
      <w:pPr>
        <w:adjustRightInd w:val="0"/>
        <w:snapToGrid w:val="0"/>
        <w:spacing w:line="600" w:lineRule="exact"/>
        <w:jc w:val="center"/>
        <w:rPr>
          <w:rFonts w:ascii="仿宋" w:hAnsi="仿宋" w:eastAsia="仿宋"/>
          <w:b/>
          <w:color w:val="000000" w:themeColor="text1"/>
          <w:spacing w:val="40"/>
          <w:sz w:val="30"/>
          <w:szCs w:val="30"/>
          <w:highlight w:val="none"/>
          <w14:textFill>
            <w14:solidFill>
              <w14:schemeClr w14:val="tx1"/>
            </w14:solidFill>
          </w14:textFill>
        </w:rPr>
      </w:pPr>
    </w:p>
    <w:p>
      <w:pPr>
        <w:spacing w:line="480" w:lineRule="auto"/>
        <w:jc w:val="center"/>
        <w:outlineLvl w:val="0"/>
        <w:rPr>
          <w:rFonts w:ascii="仿宋" w:hAnsi="仿宋" w:eastAsia="仿宋"/>
          <w:b/>
          <w:color w:val="000000" w:themeColor="text1"/>
          <w:sz w:val="36"/>
          <w:szCs w:val="36"/>
          <w:highlight w:val="none"/>
          <w14:textFill>
            <w14:solidFill>
              <w14:schemeClr w14:val="tx1"/>
            </w14:solidFill>
          </w14:textFill>
        </w:rPr>
      </w:pPr>
      <w:bookmarkStart w:id="0" w:name="_Toc463253080"/>
      <w:r>
        <w:rPr>
          <w:rFonts w:ascii="仿宋" w:hAnsi="仿宋" w:eastAsia="仿宋"/>
          <w:b/>
          <w:color w:val="000000" w:themeColor="text1"/>
          <w:sz w:val="36"/>
          <w:szCs w:val="36"/>
          <w:highlight w:val="none"/>
          <w14:textFill>
            <w14:solidFill>
              <w14:schemeClr w14:val="tx1"/>
            </w14:solidFill>
          </w14:textFill>
        </w:rPr>
        <w:br w:type="page"/>
      </w:r>
      <w:r>
        <w:rPr>
          <w:rFonts w:ascii="仿宋" w:hAnsi="仿宋" w:eastAsia="仿宋"/>
          <w:b/>
          <w:color w:val="000000" w:themeColor="text1"/>
          <w:sz w:val="36"/>
          <w:szCs w:val="36"/>
          <w:highlight w:val="none"/>
          <w14:textFill>
            <w14:solidFill>
              <w14:schemeClr w14:val="tx1"/>
            </w14:solidFill>
          </w14:textFill>
        </w:rPr>
        <w:t>总  目  录</w:t>
      </w:r>
      <w:bookmarkEnd w:id="0"/>
    </w:p>
    <w:p>
      <w:pPr>
        <w:spacing w:line="480" w:lineRule="auto"/>
        <w:rPr>
          <w:rFonts w:ascii="仿宋" w:hAnsi="仿宋" w:eastAsia="仿宋"/>
          <w:b/>
          <w:color w:val="000000" w:themeColor="text1"/>
          <w:sz w:val="28"/>
          <w:highlight w:val="none"/>
          <w14:textFill>
            <w14:solidFill>
              <w14:schemeClr w14:val="tx1"/>
            </w14:solidFill>
          </w14:textFill>
        </w:rPr>
      </w:pPr>
    </w:p>
    <w:p>
      <w:pPr>
        <w:pStyle w:val="17"/>
        <w:spacing w:line="480" w:lineRule="auto"/>
        <w:rPr>
          <w:rFonts w:ascii="等线" w:hAnsi="等线" w:eastAsia="等线"/>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fldChar w:fldCharType="begin"/>
      </w:r>
      <w:r>
        <w:rPr>
          <w:rFonts w:ascii="仿宋" w:hAnsi="仿宋" w:eastAsia="仿宋"/>
          <w:color w:val="000000" w:themeColor="text1"/>
          <w:sz w:val="28"/>
          <w:szCs w:val="28"/>
          <w:highlight w:val="none"/>
          <w14:textFill>
            <w14:solidFill>
              <w14:schemeClr w14:val="tx1"/>
            </w14:solidFill>
          </w14:textFill>
        </w:rPr>
        <w:instrText xml:space="preserve"> TOC \o "1-1" \u </w:instrText>
      </w:r>
      <w:r>
        <w:rPr>
          <w:rFonts w:ascii="仿宋" w:hAnsi="仿宋" w:eastAsia="仿宋"/>
          <w:color w:val="000000" w:themeColor="text1"/>
          <w:sz w:val="28"/>
          <w:szCs w:val="28"/>
          <w:highlight w:val="none"/>
          <w14:textFill>
            <w14:solidFill>
              <w14:schemeClr w14:val="tx1"/>
            </w14:solidFill>
          </w14:textFill>
        </w:rPr>
        <w:fldChar w:fldCharType="separate"/>
      </w:r>
      <w:r>
        <w:rPr>
          <w:rFonts w:ascii="仿宋" w:hAnsi="仿宋" w:eastAsia="仿宋"/>
          <w:color w:val="000000" w:themeColor="text1"/>
          <w:sz w:val="28"/>
          <w:szCs w:val="28"/>
          <w:highlight w:val="none"/>
          <w14:textFill>
            <w14:solidFill>
              <w14:schemeClr w14:val="tx1"/>
            </w14:solidFill>
          </w14:textFill>
        </w:rPr>
        <w:t xml:space="preserve">第一章  </w:t>
      </w:r>
      <w:r>
        <w:rPr>
          <w:rFonts w:hint="eastAsia" w:ascii="仿宋" w:hAnsi="仿宋" w:eastAsia="仿宋"/>
          <w:color w:val="000000" w:themeColor="text1"/>
          <w:sz w:val="28"/>
          <w:szCs w:val="28"/>
          <w:highlight w:val="none"/>
          <w14:textFill>
            <w14:solidFill>
              <w14:schemeClr w14:val="tx1"/>
            </w14:solidFill>
          </w14:textFill>
        </w:rPr>
        <w:t>竞争性谈判</w:t>
      </w:r>
      <w:r>
        <w:rPr>
          <w:rFonts w:ascii="仿宋" w:hAnsi="仿宋" w:eastAsia="仿宋"/>
          <w:color w:val="000000" w:themeColor="text1"/>
          <w:sz w:val="28"/>
          <w:szCs w:val="28"/>
          <w:highlight w:val="none"/>
          <w14:textFill>
            <w14:solidFill>
              <w14:schemeClr w14:val="tx1"/>
            </w14:solidFill>
          </w14:textFill>
        </w:rPr>
        <w:t>公告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_Toc463253081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p>
    <w:p>
      <w:pPr>
        <w:pStyle w:val="17"/>
        <w:spacing w:line="480" w:lineRule="auto"/>
        <w:rPr>
          <w:rFonts w:ascii="等线" w:hAnsi="等线"/>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第二章  供应商须知</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8</w:t>
      </w:r>
    </w:p>
    <w:p>
      <w:pPr>
        <w:pStyle w:val="17"/>
        <w:spacing w:line="480" w:lineRule="auto"/>
        <w:rPr>
          <w:rFonts w:ascii="等线" w:hAnsi="等线"/>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第三章  项目需求</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23</w:t>
      </w:r>
    </w:p>
    <w:p>
      <w:pPr>
        <w:pStyle w:val="17"/>
        <w:spacing w:line="480" w:lineRule="auto"/>
        <w:rPr>
          <w:rFonts w:ascii="等线" w:hAnsi="等线"/>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第四章  合同</w:t>
      </w:r>
      <w:r>
        <w:rPr>
          <w:rFonts w:hint="eastAsia" w:ascii="仿宋" w:hAnsi="仿宋" w:eastAsia="仿宋"/>
          <w:color w:val="000000" w:themeColor="text1"/>
          <w:sz w:val="28"/>
          <w:szCs w:val="28"/>
          <w:highlight w:val="none"/>
          <w14:textFill>
            <w14:solidFill>
              <w14:schemeClr w14:val="tx1"/>
            </w14:solidFill>
          </w14:textFill>
        </w:rPr>
        <w:t>主要条款</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28</w:t>
      </w:r>
    </w:p>
    <w:p>
      <w:pPr>
        <w:pStyle w:val="17"/>
        <w:spacing w:line="480" w:lineRule="auto"/>
        <w:rPr>
          <w:rFonts w:ascii="等线" w:hAnsi="等线"/>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第五章  评标方法与评标标准</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32</w:t>
      </w:r>
    </w:p>
    <w:p>
      <w:pPr>
        <w:pStyle w:val="17"/>
        <w:spacing w:line="480" w:lineRule="auto"/>
        <w:rPr>
          <w:rFonts w:ascii="等线" w:hAnsi="等线"/>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第六章  响应文件格式</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33</w:t>
      </w:r>
    </w:p>
    <w:p>
      <w:pPr>
        <w:tabs>
          <w:tab w:val="right" w:leader="dot" w:pos="8296"/>
        </w:tabs>
        <w:spacing w:line="480" w:lineRule="auto"/>
        <w:rPr>
          <w:rFonts w:hint="default" w:ascii="仿宋" w:hAnsi="仿宋" w:eastAsia="宋体"/>
          <w:color w:val="000000" w:themeColor="text1"/>
          <w:highlight w:val="none"/>
          <w:lang w:val="en-US" w:eastAsia="zh-CN"/>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fldChar w:fldCharType="end"/>
      </w:r>
      <w:r>
        <w:rPr>
          <w:rFonts w:hint="eastAsia" w:ascii="仿宋" w:hAnsi="仿宋" w:eastAsia="仿宋"/>
          <w:color w:val="000000" w:themeColor="text1"/>
          <w:sz w:val="28"/>
          <w:szCs w:val="28"/>
          <w:highlight w:val="none"/>
          <w14:textFill>
            <w14:solidFill>
              <w14:schemeClr w14:val="tx1"/>
            </w14:solidFill>
          </w14:textFill>
        </w:rPr>
        <w:t xml:space="preserve">        友情提醒</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38</w:t>
      </w:r>
    </w:p>
    <w:p>
      <w:pPr>
        <w:spacing w:before="100" w:after="240" w:line="500" w:lineRule="exact"/>
        <w:rPr>
          <w:rFonts w:ascii="宋体" w:hAnsi="宋体"/>
          <w:b/>
          <w:color w:val="000000" w:themeColor="text1"/>
          <w:sz w:val="32"/>
          <w:highlight w:val="none"/>
          <w14:textFill>
            <w14:solidFill>
              <w14:schemeClr w14:val="tx1"/>
            </w14:solidFill>
          </w14:textFill>
        </w:rPr>
      </w:pPr>
    </w:p>
    <w:p>
      <w:pPr>
        <w:spacing w:before="100" w:after="240" w:line="500" w:lineRule="exact"/>
        <w:jc w:val="center"/>
        <w:rPr>
          <w:rFonts w:ascii="宋体" w:hAnsi="宋体"/>
          <w:b/>
          <w:color w:val="000000" w:themeColor="text1"/>
          <w:sz w:val="32"/>
          <w:highlight w:val="none"/>
          <w14:textFill>
            <w14:solidFill>
              <w14:schemeClr w14:val="tx1"/>
            </w14:solidFill>
          </w14:textFill>
        </w:rPr>
      </w:pPr>
    </w:p>
    <w:p>
      <w:pPr>
        <w:spacing w:before="100" w:after="240" w:line="500" w:lineRule="exact"/>
        <w:jc w:val="center"/>
        <w:rPr>
          <w:rFonts w:ascii="宋体" w:hAnsi="宋体"/>
          <w:b/>
          <w:color w:val="000000" w:themeColor="text1"/>
          <w:sz w:val="32"/>
          <w:highlight w:val="none"/>
          <w14:textFill>
            <w14:solidFill>
              <w14:schemeClr w14:val="tx1"/>
            </w14:solidFill>
          </w14:textFill>
        </w:rPr>
      </w:pPr>
    </w:p>
    <w:p>
      <w:pPr>
        <w:spacing w:before="100" w:after="240" w:line="500" w:lineRule="exact"/>
        <w:rPr>
          <w:rFonts w:ascii="宋体" w:hAnsi="宋体"/>
          <w:b/>
          <w:color w:val="000000" w:themeColor="text1"/>
          <w:sz w:val="32"/>
          <w:highlight w:val="none"/>
          <w14:textFill>
            <w14:solidFill>
              <w14:schemeClr w14:val="tx1"/>
            </w14:solidFill>
          </w14:textFill>
        </w:rPr>
      </w:pPr>
    </w:p>
    <w:p>
      <w:pPr>
        <w:spacing w:line="480" w:lineRule="auto"/>
        <w:jc w:val="center"/>
        <w:outlineLvl w:val="0"/>
        <w:rPr>
          <w:rFonts w:ascii="宋体" w:hAnsi="宋体"/>
          <w:b/>
          <w:color w:val="000000" w:themeColor="text1"/>
          <w:sz w:val="32"/>
          <w:highlight w:val="none"/>
          <w14:textFill>
            <w14:solidFill>
              <w14:schemeClr w14:val="tx1"/>
            </w14:solidFill>
          </w14:textFill>
        </w:rPr>
        <w:sectPr>
          <w:headerReference r:id="rId3" w:type="default"/>
          <w:pgSz w:w="11906" w:h="16838"/>
          <w:pgMar w:top="1361" w:right="1797" w:bottom="1361" w:left="1797" w:header="851" w:footer="992" w:gutter="0"/>
          <w:cols w:space="720" w:num="1"/>
          <w:docGrid w:type="lines" w:linePitch="312" w:charSpace="0"/>
        </w:sectPr>
      </w:pPr>
    </w:p>
    <w:p>
      <w:pPr>
        <w:spacing w:line="480" w:lineRule="auto"/>
        <w:outlineLvl w:val="0"/>
        <w:rPr>
          <w:rFonts w:ascii="仿宋" w:hAnsi="仿宋" w:eastAsia="仿宋"/>
          <w:b/>
          <w:color w:val="000000" w:themeColor="text1"/>
          <w:sz w:val="44"/>
          <w:szCs w:val="21"/>
          <w:highlight w:val="none"/>
          <w14:textFill>
            <w14:solidFill>
              <w14:schemeClr w14:val="tx1"/>
            </w14:solidFill>
          </w14:textFill>
        </w:rPr>
      </w:pPr>
      <w:bookmarkStart w:id="1" w:name="_Toc401414764"/>
      <w:bookmarkStart w:id="2" w:name="_Toc463253081"/>
    </w:p>
    <w:p>
      <w:pPr>
        <w:spacing w:line="480" w:lineRule="auto"/>
        <w:outlineLvl w:val="0"/>
        <w:rPr>
          <w:rFonts w:ascii="仿宋" w:hAnsi="仿宋" w:eastAsia="仿宋"/>
          <w:b/>
          <w:color w:val="000000" w:themeColor="text1"/>
          <w:sz w:val="44"/>
          <w:szCs w:val="21"/>
          <w:highlight w:val="none"/>
          <w14:textFill>
            <w14:solidFill>
              <w14:schemeClr w14:val="tx1"/>
            </w14:solidFill>
          </w14:textFill>
        </w:rPr>
      </w:pPr>
    </w:p>
    <w:p>
      <w:pPr>
        <w:spacing w:line="480" w:lineRule="auto"/>
        <w:outlineLvl w:val="0"/>
        <w:rPr>
          <w:rFonts w:ascii="仿宋" w:hAnsi="仿宋" w:eastAsia="仿宋"/>
          <w:b/>
          <w:color w:val="000000" w:themeColor="text1"/>
          <w:sz w:val="44"/>
          <w:szCs w:val="21"/>
          <w:highlight w:val="none"/>
          <w14:textFill>
            <w14:solidFill>
              <w14:schemeClr w14:val="tx1"/>
            </w14:solidFill>
          </w14:textFill>
        </w:rPr>
      </w:pPr>
    </w:p>
    <w:p>
      <w:pPr>
        <w:spacing w:line="480" w:lineRule="auto"/>
        <w:outlineLvl w:val="0"/>
        <w:rPr>
          <w:rFonts w:ascii="仿宋" w:hAnsi="仿宋" w:eastAsia="仿宋"/>
          <w:b/>
          <w:color w:val="000000" w:themeColor="text1"/>
          <w:sz w:val="44"/>
          <w:szCs w:val="21"/>
          <w:highlight w:val="none"/>
          <w14:textFill>
            <w14:solidFill>
              <w14:schemeClr w14:val="tx1"/>
            </w14:solidFill>
          </w14:textFill>
        </w:rPr>
      </w:pPr>
    </w:p>
    <w:p>
      <w:pPr>
        <w:spacing w:line="480" w:lineRule="auto"/>
        <w:outlineLvl w:val="0"/>
        <w:rPr>
          <w:rFonts w:ascii="仿宋" w:hAnsi="仿宋" w:eastAsia="仿宋"/>
          <w:b/>
          <w:color w:val="000000" w:themeColor="text1"/>
          <w:sz w:val="44"/>
          <w:szCs w:val="21"/>
          <w:highlight w:val="none"/>
          <w14:textFill>
            <w14:solidFill>
              <w14:schemeClr w14:val="tx1"/>
            </w14:solidFill>
          </w14:textFill>
        </w:rPr>
      </w:pPr>
    </w:p>
    <w:p>
      <w:pPr>
        <w:spacing w:line="480" w:lineRule="auto"/>
        <w:outlineLvl w:val="0"/>
        <w:rPr>
          <w:rFonts w:ascii="仿宋" w:hAnsi="仿宋" w:eastAsia="仿宋"/>
          <w:b/>
          <w:color w:val="000000" w:themeColor="text1"/>
          <w:sz w:val="44"/>
          <w:szCs w:val="21"/>
          <w:highlight w:val="none"/>
          <w14:textFill>
            <w14:solidFill>
              <w14:schemeClr w14:val="tx1"/>
            </w14:solidFill>
          </w14:textFill>
        </w:rPr>
      </w:pPr>
    </w:p>
    <w:p>
      <w:pPr>
        <w:spacing w:line="480" w:lineRule="auto"/>
        <w:outlineLvl w:val="0"/>
        <w:rPr>
          <w:rFonts w:ascii="仿宋" w:hAnsi="仿宋" w:eastAsia="仿宋"/>
          <w:b/>
          <w:color w:val="000000" w:themeColor="text1"/>
          <w:sz w:val="44"/>
          <w:szCs w:val="21"/>
          <w:highlight w:val="none"/>
          <w14:textFill>
            <w14:solidFill>
              <w14:schemeClr w14:val="tx1"/>
            </w14:solidFill>
          </w14:textFill>
        </w:rPr>
      </w:pPr>
    </w:p>
    <w:p>
      <w:pPr>
        <w:spacing w:line="480" w:lineRule="auto"/>
        <w:outlineLvl w:val="0"/>
        <w:rPr>
          <w:rFonts w:ascii="仿宋" w:hAnsi="仿宋" w:eastAsia="仿宋"/>
          <w:b/>
          <w:color w:val="000000" w:themeColor="text1"/>
          <w:sz w:val="44"/>
          <w:szCs w:val="21"/>
          <w:highlight w:val="none"/>
          <w14:textFill>
            <w14:solidFill>
              <w14:schemeClr w14:val="tx1"/>
            </w14:solidFill>
          </w14:textFill>
        </w:rPr>
      </w:pPr>
    </w:p>
    <w:p>
      <w:pPr>
        <w:spacing w:line="480" w:lineRule="auto"/>
        <w:outlineLvl w:val="0"/>
        <w:rPr>
          <w:rFonts w:ascii="仿宋" w:hAnsi="仿宋" w:eastAsia="仿宋"/>
          <w:b/>
          <w:color w:val="000000" w:themeColor="text1"/>
          <w:sz w:val="44"/>
          <w:szCs w:val="21"/>
          <w:highlight w:val="none"/>
          <w14:textFill>
            <w14:solidFill>
              <w14:schemeClr w14:val="tx1"/>
            </w14:solidFill>
          </w14:textFill>
        </w:rPr>
        <w:sectPr>
          <w:headerReference r:id="rId4" w:type="default"/>
          <w:footerReference r:id="rId5" w:type="default"/>
          <w:type w:val="continuous"/>
          <w:pgSz w:w="11906" w:h="16838"/>
          <w:pgMar w:top="1361" w:right="1797" w:bottom="1361" w:left="1797" w:header="851" w:footer="992" w:gutter="0"/>
          <w:pgNumType w:start="1"/>
          <w:cols w:space="720" w:num="1"/>
          <w:docGrid w:type="lines" w:linePitch="312" w:charSpace="0"/>
        </w:sectPr>
      </w:pPr>
    </w:p>
    <w:p>
      <w:pPr>
        <w:spacing w:line="480" w:lineRule="auto"/>
        <w:jc w:val="center"/>
        <w:outlineLvl w:val="0"/>
        <w:rPr>
          <w:rFonts w:ascii="仿宋" w:hAnsi="仿宋" w:eastAsia="仿宋"/>
          <w:b/>
          <w:color w:val="000000" w:themeColor="text1"/>
          <w:sz w:val="44"/>
          <w:szCs w:val="21"/>
          <w:highlight w:val="none"/>
          <w14:textFill>
            <w14:solidFill>
              <w14:schemeClr w14:val="tx1"/>
            </w14:solidFill>
          </w14:textFill>
        </w:rPr>
        <w:sectPr>
          <w:footerReference r:id="rId6" w:type="default"/>
          <w:type w:val="continuous"/>
          <w:pgSz w:w="11906" w:h="16838"/>
          <w:pgMar w:top="1134" w:right="1134" w:bottom="1134" w:left="1417" w:header="851" w:footer="992" w:gutter="0"/>
          <w:pgNumType w:start="1"/>
          <w:cols w:space="720" w:num="1"/>
          <w:docGrid w:type="lines" w:linePitch="312" w:charSpace="0"/>
        </w:sectPr>
      </w:pPr>
    </w:p>
    <w:p>
      <w:pPr>
        <w:spacing w:line="480" w:lineRule="auto"/>
        <w:jc w:val="center"/>
        <w:outlineLvl w:val="0"/>
        <w:rPr>
          <w:color w:val="000000" w:themeColor="text1"/>
          <w:highlight w:val="none"/>
          <w14:textFill>
            <w14:solidFill>
              <w14:schemeClr w14:val="tx1"/>
            </w14:solidFill>
          </w14:textFill>
        </w:rPr>
      </w:pPr>
      <w:r>
        <w:rPr>
          <w:rFonts w:ascii="仿宋" w:hAnsi="仿宋" w:eastAsia="仿宋"/>
          <w:b/>
          <w:color w:val="000000" w:themeColor="text1"/>
          <w:sz w:val="44"/>
          <w:szCs w:val="21"/>
          <w:highlight w:val="none"/>
          <w14:textFill>
            <w14:solidFill>
              <w14:schemeClr w14:val="tx1"/>
            </w14:solidFill>
          </w14:textFill>
        </w:rPr>
        <w:t xml:space="preserve">第一章  </w:t>
      </w:r>
      <w:r>
        <w:rPr>
          <w:rFonts w:hint="eastAsia" w:ascii="仿宋" w:hAnsi="仿宋" w:eastAsia="仿宋"/>
          <w:b/>
          <w:color w:val="000000" w:themeColor="text1"/>
          <w:sz w:val="44"/>
          <w:szCs w:val="21"/>
          <w:highlight w:val="none"/>
          <w14:textFill>
            <w14:solidFill>
              <w14:schemeClr w14:val="tx1"/>
            </w14:solidFill>
          </w14:textFill>
        </w:rPr>
        <w:t>竞争性谈判</w:t>
      </w:r>
      <w:r>
        <w:rPr>
          <w:rFonts w:ascii="仿宋" w:hAnsi="仿宋" w:eastAsia="仿宋"/>
          <w:b/>
          <w:color w:val="000000" w:themeColor="text1"/>
          <w:sz w:val="44"/>
          <w:szCs w:val="21"/>
          <w:highlight w:val="none"/>
          <w14:textFill>
            <w14:solidFill>
              <w14:schemeClr w14:val="tx1"/>
            </w14:solidFill>
          </w14:textFill>
        </w:rPr>
        <w:t>公告</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《普通高中教师专业发展的实践探索》图书出版项目</w:t>
      </w:r>
      <w:r>
        <w:rPr>
          <w:rFonts w:hint="eastAsia" w:ascii="仿宋" w:hAnsi="仿宋" w:eastAsia="仿宋"/>
          <w:color w:val="000000" w:themeColor="text1"/>
          <w:sz w:val="28"/>
          <w:szCs w:val="28"/>
          <w:highlight w:val="none"/>
          <w14:textFill>
            <w14:solidFill>
              <w14:schemeClr w14:val="tx1"/>
            </w14:solidFill>
          </w14:textFill>
        </w:rPr>
        <w:t>) 采购项目的潜在供应商应在（常州钟楼区大仓路65号（博济五星智造园）8号楼2楼常州中宇财务室）获取采购文件。并于202</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03</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04</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点30分（北京时间）前提交响应文件</w:t>
      </w:r>
    </w:p>
    <w:p>
      <w:pPr>
        <w:pStyle w:val="2"/>
        <w:spacing w:line="360" w:lineRule="auto"/>
        <w:rPr>
          <w:rFonts w:ascii="黑体" w:hAnsi="黑体" w:cs="宋体"/>
          <w:bCs w:val="0"/>
          <w:color w:val="000000" w:themeColor="text1"/>
          <w:sz w:val="28"/>
          <w:szCs w:val="28"/>
          <w:highlight w:val="none"/>
          <w14:textFill>
            <w14:solidFill>
              <w14:schemeClr w14:val="tx1"/>
            </w14:solidFill>
          </w14:textFill>
        </w:rPr>
      </w:pPr>
      <w:r>
        <w:rPr>
          <w:rFonts w:hint="eastAsia" w:ascii="黑体" w:hAnsi="黑体" w:cs="宋体"/>
          <w:bCs w:val="0"/>
          <w:color w:val="000000" w:themeColor="text1"/>
          <w:sz w:val="28"/>
          <w:szCs w:val="28"/>
          <w:highlight w:val="none"/>
          <w14:textFill>
            <w14:solidFill>
              <w14:schemeClr w14:val="tx1"/>
            </w14:solidFill>
          </w14:textFill>
        </w:rPr>
        <w:t>一、项目基本情况：</w:t>
      </w:r>
    </w:p>
    <w:p>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eastAsia="zh-CN"/>
          <w14:textFill>
            <w14:solidFill>
              <w14:schemeClr w14:val="tx1"/>
            </w14:solidFill>
          </w14:textFill>
        </w:rPr>
        <w:t>ZYJS-SJ2024002</w:t>
      </w:r>
      <w:r>
        <w:rPr>
          <w:rFonts w:hint="eastAsia" w:ascii="仿宋" w:hAnsi="仿宋" w:eastAsia="仿宋"/>
          <w:color w:val="000000" w:themeColor="text1"/>
          <w:sz w:val="28"/>
          <w:szCs w:val="28"/>
          <w:highlight w:val="none"/>
          <w14:textFill>
            <w14:solidFill>
              <w14:schemeClr w14:val="tx1"/>
            </w14:solidFill>
          </w14:textFill>
        </w:rPr>
        <w:tab/>
      </w:r>
    </w:p>
    <w:p>
      <w:pPr>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lang w:eastAsia="zh-CN"/>
          <w14:textFill>
            <w14:solidFill>
              <w14:schemeClr w14:val="tx1"/>
            </w14:solidFill>
          </w14:textFill>
        </w:rPr>
        <w:t>《普通高中教师专业发展的实践探索》图书出版项目</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采购方式：□竞争性磋商 ☑竞争性谈判 □询价</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本项目预算：人民币</w:t>
      </w:r>
      <w:r>
        <w:rPr>
          <w:rFonts w:hint="eastAsia" w:ascii="仿宋" w:hAnsi="仿宋" w:eastAsia="仿宋"/>
          <w:color w:val="000000" w:themeColor="text1"/>
          <w:sz w:val="28"/>
          <w:szCs w:val="28"/>
          <w:highlight w:val="none"/>
          <w:lang w:val="en-US" w:eastAsia="zh-CN"/>
          <w14:textFill>
            <w14:solidFill>
              <w14:schemeClr w14:val="tx1"/>
            </w14:solidFill>
          </w14:textFill>
        </w:rPr>
        <w:t>10</w:t>
      </w:r>
      <w:r>
        <w:rPr>
          <w:rFonts w:hint="eastAsia" w:ascii="仿宋" w:hAnsi="仿宋" w:eastAsia="仿宋"/>
          <w:color w:val="000000" w:themeColor="text1"/>
          <w:sz w:val="28"/>
          <w:szCs w:val="28"/>
          <w:highlight w:val="none"/>
          <w14:textFill>
            <w14:solidFill>
              <w14:schemeClr w14:val="tx1"/>
            </w14:solidFill>
          </w14:textFill>
        </w:rPr>
        <w:t>万元。</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最高限价：人民币</w:t>
      </w:r>
      <w:r>
        <w:rPr>
          <w:rFonts w:hint="eastAsia" w:ascii="仿宋" w:hAnsi="仿宋" w:eastAsia="仿宋"/>
          <w:color w:val="000000" w:themeColor="text1"/>
          <w:sz w:val="28"/>
          <w:szCs w:val="28"/>
          <w:highlight w:val="none"/>
          <w:lang w:val="en-US" w:eastAsia="zh-CN"/>
          <w14:textFill>
            <w14:solidFill>
              <w14:schemeClr w14:val="tx1"/>
            </w14:solidFill>
          </w14:textFill>
        </w:rPr>
        <w:t>10</w:t>
      </w:r>
      <w:r>
        <w:rPr>
          <w:rFonts w:hint="eastAsia" w:ascii="仿宋" w:hAnsi="仿宋" w:eastAsia="仿宋"/>
          <w:color w:val="000000" w:themeColor="text1"/>
          <w:sz w:val="28"/>
          <w:szCs w:val="28"/>
          <w:highlight w:val="none"/>
          <w14:textFill>
            <w14:solidFill>
              <w14:schemeClr w14:val="tx1"/>
            </w14:solidFill>
          </w14:textFill>
        </w:rPr>
        <w:t>万元，供应商的报价不得高于最高限价，否则作为无效响应处理。</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采购需求：</w:t>
      </w:r>
      <w:r>
        <w:rPr>
          <w:rFonts w:hint="eastAsia" w:ascii="仿宋" w:hAnsi="仿宋" w:eastAsia="仿宋"/>
          <w:color w:val="000000" w:themeColor="text1"/>
          <w:sz w:val="28"/>
          <w:szCs w:val="28"/>
          <w:highlight w:val="none"/>
          <w:lang w:eastAsia="zh-CN"/>
          <w14:textFill>
            <w14:solidFill>
              <w14:schemeClr w14:val="tx1"/>
            </w14:solidFill>
          </w14:textFill>
        </w:rPr>
        <w:t>《普通高中教师专业发展的实践探索》图书出版项目</w:t>
      </w:r>
      <w:r>
        <w:rPr>
          <w:rFonts w:hint="eastAsia" w:ascii="仿宋" w:hAnsi="仿宋" w:eastAsia="仿宋"/>
          <w:color w:val="000000" w:themeColor="text1"/>
          <w:sz w:val="28"/>
          <w:szCs w:val="28"/>
          <w:highlight w:val="none"/>
          <w14:textFill>
            <w14:solidFill>
              <w14:schemeClr w14:val="tx1"/>
            </w14:solidFill>
          </w14:textFill>
        </w:rPr>
        <w:t>，含封面设计、版式设计、制版、审稿、编辑、校对、纸张、印刷、装订、包装、运输、出版管理、税金、售后服务等全部内容的费用，及合同包含的所有风险、责任等，具体要求详见竞谈文件。</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合同履行期限：</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在</w:t>
      </w:r>
      <w:r>
        <w:rPr>
          <w:rFonts w:hint="eastAsia" w:ascii="仿宋" w:hAnsi="仿宋" w:eastAsia="仿宋"/>
          <w:color w:val="000000" w:themeColor="text1"/>
          <w:sz w:val="28"/>
          <w:szCs w:val="28"/>
          <w:highlight w:val="none"/>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日之前</w:t>
      </w:r>
      <w:r>
        <w:rPr>
          <w:rFonts w:hint="eastAsia" w:ascii="仿宋" w:hAnsi="仿宋" w:eastAsia="仿宋"/>
          <w:color w:val="000000" w:themeColor="text1"/>
          <w:sz w:val="28"/>
          <w:szCs w:val="28"/>
          <w:highlight w:val="none"/>
          <w:lang w:val="en-US" w:eastAsia="zh-CN"/>
          <w14:textFill>
            <w14:solidFill>
              <w14:schemeClr w14:val="tx1"/>
            </w14:solidFill>
          </w14:textFill>
        </w:rPr>
        <w:t>完成本次项目</w:t>
      </w:r>
      <w:r>
        <w:rPr>
          <w:rFonts w:hint="eastAsia" w:ascii="仿宋" w:hAnsi="仿宋" w:eastAsia="仿宋"/>
          <w:color w:val="000000" w:themeColor="text1"/>
          <w:sz w:val="28"/>
          <w:szCs w:val="28"/>
          <w:highlight w:val="none"/>
          <w14:textFill>
            <w14:solidFill>
              <w14:schemeClr w14:val="tx1"/>
            </w14:solidFill>
          </w14:textFill>
        </w:rPr>
        <w:t>。</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本项目不接受联合体。</w:t>
      </w:r>
    </w:p>
    <w:p>
      <w:pPr>
        <w:pStyle w:val="2"/>
        <w:spacing w:line="360" w:lineRule="auto"/>
        <w:rPr>
          <w:rFonts w:hint="eastAsia" w:ascii="黑体" w:hAnsi="黑体" w:cs="宋体"/>
          <w:bCs w:val="0"/>
          <w:color w:val="000000" w:themeColor="text1"/>
          <w:sz w:val="28"/>
          <w:szCs w:val="28"/>
          <w:highlight w:val="none"/>
          <w14:textFill>
            <w14:solidFill>
              <w14:schemeClr w14:val="tx1"/>
            </w14:solidFill>
          </w14:textFill>
        </w:rPr>
      </w:pPr>
      <w:r>
        <w:rPr>
          <w:rFonts w:hint="eastAsia" w:ascii="黑体" w:hAnsi="黑体" w:cs="宋体"/>
          <w:bCs w:val="0"/>
          <w:color w:val="000000" w:themeColor="text1"/>
          <w:sz w:val="28"/>
          <w:szCs w:val="28"/>
          <w:highlight w:val="none"/>
          <w14:textFill>
            <w14:solidFill>
              <w14:schemeClr w14:val="tx1"/>
            </w14:solidFill>
          </w14:textFill>
        </w:rPr>
        <w:t>二、申请人的资格要求：</w:t>
      </w:r>
    </w:p>
    <w:p>
      <w:pPr>
        <w:spacing w:line="360" w:lineRule="auto"/>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1.具有独立承担民事责任能力的法人或其他组织，提供有效的营业执照副本；</w:t>
      </w:r>
    </w:p>
    <w:p>
      <w:pPr>
        <w:numPr>
          <w:ilvl w:val="0"/>
          <w:numId w:val="1"/>
        </w:numPr>
        <w:spacing w:line="360" w:lineRule="auto"/>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具有良好的商业信誉和健全的财务会计制度；资产运营良好，不存在因借贷、担保等可能影响供应商履行本招标项目的情况，具有良好的经营业绩，有提供优质服务的能力；</w:t>
      </w:r>
    </w:p>
    <w:p>
      <w:pPr>
        <w:numPr>
          <w:ilvl w:val="0"/>
          <w:numId w:val="2"/>
        </w:numPr>
        <w:spacing w:line="360" w:lineRule="auto"/>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具有履行合同所必需的设备和专业技术能力；</w:t>
      </w:r>
    </w:p>
    <w:p>
      <w:pPr>
        <w:numPr>
          <w:ilvl w:val="0"/>
          <w:numId w:val="3"/>
        </w:numPr>
        <w:spacing w:line="360" w:lineRule="auto"/>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有依法缴纳税收和社会保障资金的良好记录；</w:t>
      </w:r>
    </w:p>
    <w:p>
      <w:pPr>
        <w:numPr>
          <w:ilvl w:val="0"/>
          <w:numId w:val="3"/>
        </w:numPr>
        <w:spacing w:line="360" w:lineRule="auto"/>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参加招标活动前二年内，在经营活动中无重大违法记录或无不良行为记录（如该记录对禁止参与招投标活动有明确规定的，则从其规定）；</w:t>
      </w:r>
    </w:p>
    <w:p>
      <w:pPr>
        <w:numPr>
          <w:ilvl w:val="0"/>
          <w:numId w:val="3"/>
        </w:numPr>
        <w:spacing w:line="360" w:lineRule="auto"/>
        <w:ind w:firstLine="54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无其他法律、行政法规规定的禁止参与招投标活动的行为；</w:t>
      </w:r>
    </w:p>
    <w:p>
      <w:pPr>
        <w:numPr>
          <w:ilvl w:val="0"/>
          <w:numId w:val="3"/>
        </w:numPr>
        <w:spacing w:line="360" w:lineRule="auto"/>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未被“信用中国”网站（WWW.creditchina.gov.cn）和“中国政府采购网”网站（www.ccgp.gov.cn）列入失信被执行人、重大税收违法案件当事人名单、政府采购严重失信行为记录名单；</w:t>
      </w:r>
    </w:p>
    <w:p>
      <w:pPr>
        <w:numPr>
          <w:ilvl w:val="0"/>
          <w:numId w:val="3"/>
        </w:numPr>
        <w:spacing w:line="360" w:lineRule="auto"/>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单位负责人为同一人或者存在直接控股、管理关系的不同供应商，不得参加同一合同项下的采购活动；与采购人存在利害关系可能影响招标公正性的法人、其他组织，不得参加投标；</w:t>
      </w:r>
    </w:p>
    <w:p>
      <w:pPr>
        <w:pStyle w:val="2"/>
        <w:spacing w:line="360" w:lineRule="auto"/>
        <w:rPr>
          <w:rFonts w:ascii="黑体" w:hAnsi="黑体" w:cs="宋体"/>
          <w:color w:val="000000" w:themeColor="text1"/>
          <w:sz w:val="28"/>
          <w:szCs w:val="28"/>
          <w:highlight w:val="none"/>
          <w14:textFill>
            <w14:solidFill>
              <w14:schemeClr w14:val="tx1"/>
            </w14:solidFill>
          </w14:textFill>
        </w:rPr>
      </w:pPr>
      <w:bookmarkStart w:id="3" w:name="_Toc28359014"/>
      <w:bookmarkStart w:id="4" w:name="_Toc28359091"/>
      <w:r>
        <w:rPr>
          <w:rFonts w:hint="eastAsia" w:ascii="黑体" w:hAnsi="黑体" w:cs="宋体"/>
          <w:color w:val="000000" w:themeColor="text1"/>
          <w:sz w:val="28"/>
          <w:szCs w:val="28"/>
          <w:highlight w:val="none"/>
          <w14:textFill>
            <w14:solidFill>
              <w14:schemeClr w14:val="tx1"/>
            </w14:solidFill>
          </w14:textFill>
        </w:rPr>
        <w:t>三、获取采购文件</w:t>
      </w:r>
      <w:bookmarkEnd w:id="3"/>
      <w:bookmarkEnd w:id="4"/>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ascii="仿宋" w:hAnsi="仿宋" w:eastAsia="仿宋" w:cs="仿宋"/>
          <w:i w:val="0"/>
          <w:iCs w:val="0"/>
          <w:caps w:val="0"/>
          <w:color w:val="000000" w:themeColor="text1"/>
          <w:spacing w:val="0"/>
          <w:sz w:val="28"/>
          <w:szCs w:val="28"/>
          <w:highlight w:val="none"/>
          <w14:textFill>
            <w14:solidFill>
              <w14:schemeClr w14:val="tx1"/>
            </w14:solidFill>
          </w14:textFill>
        </w:rPr>
        <w:t>时间：</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202</w:t>
      </w:r>
      <w:r>
        <w:rPr>
          <w:rFonts w:hint="eastAsia" w:ascii="仿宋" w:hAnsi="仿宋" w:eastAsia="仿宋" w:cs="仿宋"/>
          <w:i w:val="0"/>
          <w:iCs w:val="0"/>
          <w:caps w:val="0"/>
          <w:color w:val="000000" w:themeColor="text1"/>
          <w:spacing w:val="0"/>
          <w:sz w:val="28"/>
          <w:szCs w:val="28"/>
          <w:highlight w:val="none"/>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年</w:t>
      </w:r>
      <w:r>
        <w:rPr>
          <w:rFonts w:hint="eastAsia" w:ascii="仿宋" w:hAnsi="仿宋" w:eastAsia="仿宋" w:cs="仿宋"/>
          <w:i w:val="0"/>
          <w:iCs w:val="0"/>
          <w:caps w:val="0"/>
          <w:color w:val="000000" w:themeColor="text1"/>
          <w:spacing w:val="0"/>
          <w:sz w:val="28"/>
          <w:szCs w:val="28"/>
          <w:highlight w:val="none"/>
          <w:lang w:val="en-US" w:eastAsia="zh-CN"/>
          <w14:textFill>
            <w14:solidFill>
              <w14:schemeClr w14:val="tx1"/>
            </w14:solidFill>
          </w14:textFill>
        </w:rPr>
        <w:t>02</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月</w:t>
      </w:r>
      <w:r>
        <w:rPr>
          <w:rFonts w:hint="eastAsia" w:ascii="仿宋" w:hAnsi="仿宋" w:eastAsia="仿宋" w:cs="仿宋"/>
          <w:i w:val="0"/>
          <w:iCs w:val="0"/>
          <w:caps w:val="0"/>
          <w:color w:val="000000" w:themeColor="text1"/>
          <w:spacing w:val="0"/>
          <w:sz w:val="28"/>
          <w:szCs w:val="28"/>
          <w:highlight w:val="none"/>
          <w:lang w:val="en-US" w:eastAsia="zh-CN"/>
          <w14:textFill>
            <w14:solidFill>
              <w14:schemeClr w14:val="tx1"/>
            </w14:solidFill>
          </w14:textFill>
        </w:rPr>
        <w:t>27</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日至202</w:t>
      </w:r>
      <w:r>
        <w:rPr>
          <w:rFonts w:hint="eastAsia" w:ascii="仿宋" w:hAnsi="仿宋" w:eastAsia="仿宋" w:cs="仿宋"/>
          <w:i w:val="0"/>
          <w:iCs w:val="0"/>
          <w:caps w:val="0"/>
          <w:color w:val="000000" w:themeColor="text1"/>
          <w:spacing w:val="0"/>
          <w:sz w:val="28"/>
          <w:szCs w:val="28"/>
          <w:highlight w:val="none"/>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年</w:t>
      </w:r>
      <w:r>
        <w:rPr>
          <w:rFonts w:hint="eastAsia" w:ascii="仿宋" w:hAnsi="仿宋" w:eastAsia="仿宋" w:cs="仿宋"/>
          <w:i w:val="0"/>
          <w:iCs w:val="0"/>
          <w:caps w:val="0"/>
          <w:color w:val="000000" w:themeColor="text1"/>
          <w:spacing w:val="0"/>
          <w:sz w:val="28"/>
          <w:szCs w:val="28"/>
          <w:highlight w:val="none"/>
          <w:lang w:val="en-US" w:eastAsia="zh-CN"/>
          <w14:textFill>
            <w14:solidFill>
              <w14:schemeClr w14:val="tx1"/>
            </w14:solidFill>
          </w14:textFill>
        </w:rPr>
        <w:t>03</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月</w:t>
      </w:r>
      <w:r>
        <w:rPr>
          <w:rFonts w:hint="eastAsia" w:ascii="仿宋" w:hAnsi="仿宋" w:eastAsia="仿宋" w:cs="仿宋"/>
          <w:i w:val="0"/>
          <w:iCs w:val="0"/>
          <w:caps w:val="0"/>
          <w:color w:val="000000" w:themeColor="text1"/>
          <w:spacing w:val="0"/>
          <w:sz w:val="28"/>
          <w:szCs w:val="28"/>
          <w:highlight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日</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，每天上午8:30至11：00，下午13:30至17:00（北京时间，法定节假日除外）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地点：常州钟楼区大仓路65号（博济五星智造园）8号楼2楼常州中宇财务室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方式：（谈判供应商可采取以下任一种方式获取竞争性谈判文件）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(1)线下报名：将报名材料扫描发至本公司邮箱“zhongyuzhaobiao111@163.com”并按要求交纳采购文件费用后，采购文件以邮件形式发送至供应商邮箱。</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户    名：常州中宇建设工程管理有限公司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开户银行：中国工商银行股份有限公司常州勤德支行</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账    号：1105052609000510202</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财务室电话（查询标书款情况）：0519-85782855</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w:t>
      </w:r>
      <w:r>
        <w:rPr>
          <w:rFonts w:hint="eastAsia" w:ascii="仿宋" w:hAnsi="仿宋" w:eastAsia="仿宋" w:cs="仿宋"/>
          <w:i w:val="0"/>
          <w:iCs w:val="0"/>
          <w:caps w:val="0"/>
          <w:color w:val="000000" w:themeColor="text1"/>
          <w:spacing w:val="0"/>
          <w:sz w:val="28"/>
          <w:szCs w:val="28"/>
          <w:highlight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)现场报名：竞争性谈判文件现场购买地点：常州钟楼区大仓路65号（博济五星智造园）8号楼2楼常州中宇财务室。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售价：人民币</w:t>
      </w:r>
      <w:r>
        <w:rPr>
          <w:rFonts w:hint="eastAsia" w:ascii="仿宋" w:hAnsi="仿宋" w:eastAsia="仿宋" w:cs="仿宋"/>
          <w:i w:val="0"/>
          <w:iCs w:val="0"/>
          <w:caps w:val="0"/>
          <w:color w:val="000000" w:themeColor="text1"/>
          <w:spacing w:val="0"/>
          <w:sz w:val="28"/>
          <w:szCs w:val="28"/>
          <w:highlight w:val="none"/>
          <w:lang w:val="en-US" w:eastAsia="zh-CN"/>
          <w14:textFill>
            <w14:solidFill>
              <w14:schemeClr w14:val="tx1"/>
            </w14:solidFill>
          </w14:textFill>
        </w:rPr>
        <w:t>叁</w:t>
      </w: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佰元/份，禁止第三方代缴，缴款时请备注所投项目编号。竞争性谈判文件售后一概不退。未获取竞争性谈判文件的谈判供应商不得参与投标。谈判供应商获取竞争性谈判文件时应提供如下材料：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40"/>
        <w:rPr>
          <w:rFonts w:hint="eastAsia" w:ascii="微软雅黑" w:hAnsi="微软雅黑" w:eastAsia="微软雅黑" w:cs="微软雅黑"/>
          <w:i w:val="0"/>
          <w:iCs w:val="0"/>
          <w:caps w:val="0"/>
          <w:color w:val="000000" w:themeColor="text1"/>
          <w:spacing w:val="0"/>
          <w:sz w:val="18"/>
          <w:szCs w:val="18"/>
          <w:highlight w:val="none"/>
          <w14:textFill>
            <w14:solidFill>
              <w14:schemeClr w14:val="tx1"/>
            </w14:solidFill>
          </w14:textFill>
        </w:rPr>
      </w:pPr>
      <w: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t>①报名表（格式见网站首页资料下载板块）</w:t>
      </w:r>
    </w:p>
    <w:p>
      <w:pPr>
        <w:pStyle w:val="2"/>
        <w:spacing w:line="360" w:lineRule="auto"/>
        <w:rPr>
          <w:rFonts w:ascii="黑体" w:hAnsi="黑体" w:cs="宋体"/>
          <w:bCs w:val="0"/>
          <w:color w:val="000000" w:themeColor="text1"/>
          <w:sz w:val="28"/>
          <w:szCs w:val="28"/>
          <w:highlight w:val="none"/>
          <w14:textFill>
            <w14:solidFill>
              <w14:schemeClr w14:val="tx1"/>
            </w14:solidFill>
          </w14:textFill>
        </w:rPr>
      </w:pPr>
      <w:r>
        <w:rPr>
          <w:rFonts w:hint="eastAsia" w:ascii="黑体" w:hAnsi="黑体" w:cs="宋体"/>
          <w:bCs w:val="0"/>
          <w:color w:val="000000" w:themeColor="text1"/>
          <w:sz w:val="28"/>
          <w:szCs w:val="28"/>
          <w:highlight w:val="none"/>
          <w14:textFill>
            <w14:solidFill>
              <w14:schemeClr w14:val="tx1"/>
            </w14:solidFill>
          </w14:textFill>
        </w:rPr>
        <w:t>四、响应文件提交</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截止时间：202</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03</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04</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点30分（北京时间）</w:t>
      </w:r>
    </w:p>
    <w:p>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地点：常州钟楼区大仓路65号（博济五星智造园）8号楼2楼常州中宇招标中心开标室  </w:t>
      </w:r>
    </w:p>
    <w:p>
      <w:pPr>
        <w:pStyle w:val="2"/>
        <w:spacing w:line="360" w:lineRule="auto"/>
        <w:rPr>
          <w:rFonts w:ascii="黑体" w:hAnsi="黑体" w:cs="宋体"/>
          <w:bCs w:val="0"/>
          <w:color w:val="000000" w:themeColor="text1"/>
          <w:sz w:val="28"/>
          <w:szCs w:val="28"/>
          <w:highlight w:val="none"/>
          <w14:textFill>
            <w14:solidFill>
              <w14:schemeClr w14:val="tx1"/>
            </w14:solidFill>
          </w14:textFill>
        </w:rPr>
      </w:pPr>
      <w:r>
        <w:rPr>
          <w:rFonts w:hint="eastAsia" w:ascii="黑体" w:hAnsi="黑体" w:cs="宋体"/>
          <w:bCs w:val="0"/>
          <w:color w:val="000000" w:themeColor="text1"/>
          <w:sz w:val="28"/>
          <w:szCs w:val="28"/>
          <w:highlight w:val="none"/>
          <w14:textFill>
            <w14:solidFill>
              <w14:schemeClr w14:val="tx1"/>
            </w14:solidFill>
          </w14:textFill>
        </w:rPr>
        <w:t>五、开启</w:t>
      </w:r>
    </w:p>
    <w:p>
      <w:pPr>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截止时间：202</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03</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04</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点30分（北京时间）</w:t>
      </w:r>
    </w:p>
    <w:p>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地点：常州钟楼区大仓路65号（博济五星智造园）8号楼2楼常州中宇招标中心开标室  </w:t>
      </w:r>
    </w:p>
    <w:p>
      <w:pPr>
        <w:pStyle w:val="2"/>
        <w:spacing w:line="360" w:lineRule="auto"/>
        <w:rPr>
          <w:rFonts w:ascii="黑体" w:hAnsi="黑体" w:cs="宋体"/>
          <w:color w:val="000000" w:themeColor="text1"/>
          <w:sz w:val="28"/>
          <w:szCs w:val="28"/>
          <w:highlight w:val="none"/>
          <w14:textFill>
            <w14:solidFill>
              <w14:schemeClr w14:val="tx1"/>
            </w14:solidFill>
          </w14:textFill>
        </w:rPr>
      </w:pPr>
      <w:r>
        <w:rPr>
          <w:rFonts w:hint="eastAsia" w:ascii="黑体" w:hAnsi="黑体" w:cs="宋体"/>
          <w:color w:val="000000" w:themeColor="text1"/>
          <w:sz w:val="28"/>
          <w:szCs w:val="28"/>
          <w:highlight w:val="none"/>
          <w14:textFill>
            <w14:solidFill>
              <w14:schemeClr w14:val="tx1"/>
            </w14:solidFill>
          </w14:textFill>
        </w:rPr>
        <w:t>六、公告期限</w:t>
      </w:r>
    </w:p>
    <w:p>
      <w:pPr>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自本公告发布之日起3个工作日。</w:t>
      </w:r>
    </w:p>
    <w:p>
      <w:pPr>
        <w:pStyle w:val="2"/>
        <w:spacing w:line="360" w:lineRule="auto"/>
        <w:rPr>
          <w:rFonts w:ascii="黑体" w:hAnsi="黑体" w:cs="宋体"/>
          <w:color w:val="000000" w:themeColor="text1"/>
          <w:sz w:val="28"/>
          <w:szCs w:val="28"/>
          <w:highlight w:val="none"/>
          <w14:textFill>
            <w14:solidFill>
              <w14:schemeClr w14:val="tx1"/>
            </w14:solidFill>
          </w14:textFill>
        </w:rPr>
      </w:pPr>
      <w:r>
        <w:rPr>
          <w:rFonts w:hint="eastAsia" w:ascii="黑体" w:hAnsi="黑体" w:cs="宋体"/>
          <w:color w:val="000000" w:themeColor="text1"/>
          <w:sz w:val="28"/>
          <w:szCs w:val="28"/>
          <w:highlight w:val="none"/>
          <w14:textFill>
            <w14:solidFill>
              <w14:schemeClr w14:val="tx1"/>
            </w14:solidFill>
          </w14:textFill>
        </w:rPr>
        <w:t>七、其他补充事宜</w:t>
      </w:r>
    </w:p>
    <w:p>
      <w:pPr>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1、谈判保证金要求</w:t>
      </w:r>
    </w:p>
    <w:p>
      <w:pPr>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本项目免收谈判保证金</w:t>
      </w:r>
      <w:r>
        <w:rPr>
          <w:rFonts w:hint="eastAsia" w:ascii="仿宋" w:hAnsi="仿宋" w:eastAsia="仿宋" w:cs="宋体"/>
          <w:color w:val="000000" w:themeColor="text1"/>
          <w:kern w:val="0"/>
          <w:sz w:val="28"/>
          <w:szCs w:val="28"/>
          <w:highlight w:val="none"/>
          <w14:textFill>
            <w14:solidFill>
              <w14:schemeClr w14:val="tx1"/>
            </w14:solidFill>
          </w14:textFill>
        </w:rPr>
        <w:t>。</w:t>
      </w:r>
    </w:p>
    <w:p>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2、澄清：</w:t>
      </w:r>
    </w:p>
    <w:p>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①对竞争性谈判文件需要进行澄清或有疑问的供应商，均应在</w:t>
      </w:r>
      <w:r>
        <w:rPr>
          <w:rFonts w:hint="eastAsia" w:ascii="仿宋" w:hAnsi="仿宋" w:eastAsia="仿宋"/>
          <w:color w:val="000000" w:themeColor="text1"/>
          <w:sz w:val="28"/>
          <w:szCs w:val="28"/>
          <w:highlight w:val="none"/>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03</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01</w:t>
      </w:r>
      <w:r>
        <w:rPr>
          <w:rFonts w:hint="eastAsia" w:ascii="仿宋" w:hAnsi="仿宋" w:eastAsia="仿宋"/>
          <w:color w:val="000000" w:themeColor="text1"/>
          <w:sz w:val="28"/>
          <w:szCs w:val="28"/>
          <w:highlight w:val="none"/>
          <w14:textFill>
            <w14:solidFill>
              <w14:schemeClr w14:val="tx1"/>
            </w14:solidFill>
          </w14:textFill>
        </w:rPr>
        <w:t xml:space="preserve">日17：30 </w:t>
      </w:r>
      <w:r>
        <w:rPr>
          <w:rFonts w:hint="eastAsia" w:ascii="仿宋" w:hAnsi="仿宋" w:eastAsia="仿宋"/>
          <w:color w:val="000000" w:themeColor="text1"/>
          <w:sz w:val="28"/>
          <w:szCs w:val="28"/>
          <w:highlight w:val="none"/>
          <w14:textFill>
            <w14:solidFill>
              <w14:schemeClr w14:val="tx1"/>
            </w14:solidFill>
          </w14:textFill>
        </w:rPr>
        <w:t>前按竞争性谈判公告中的通讯地址，将澄清或疑问内容一次性以书面形式并加盖公章送达采购代理机构，否则视为无有效澄清或疑问。</w:t>
      </w:r>
    </w:p>
    <w:p>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②有关本次采购的事项若存在变动或修改，竞争性谈判代理机构将通过补充或更正形式在采购公告原发布网站上发布，因未能及时了解相关最新信息所引起的投标失误责任由供应商自负。</w:t>
      </w:r>
    </w:p>
    <w:p>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3、响应文件制作份数要求：</w:t>
      </w:r>
    </w:p>
    <w:p>
      <w:pPr>
        <w:spacing w:line="360" w:lineRule="auto"/>
        <w:ind w:firstLine="562"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正本份数：1份，副本份数：2份；</w:t>
      </w:r>
      <w:r>
        <w:rPr>
          <w:rFonts w:hint="eastAsia" w:ascii="仿宋" w:hAnsi="仿宋" w:eastAsia="仿宋"/>
          <w:color w:val="000000" w:themeColor="text1"/>
          <w:sz w:val="28"/>
          <w:szCs w:val="28"/>
          <w:highlight w:val="none"/>
          <w14:textFill>
            <w14:solidFill>
              <w14:schemeClr w14:val="tx1"/>
            </w14:solidFill>
          </w14:textFill>
        </w:rPr>
        <w:t>响应文件应按顺序胶装成册，并编制响应文件目录索引。不论供应商成交与否，响应文件均不退回。</w:t>
      </w:r>
    </w:p>
    <w:p>
      <w:pPr>
        <w:pStyle w:val="2"/>
        <w:spacing w:line="360" w:lineRule="auto"/>
        <w:rPr>
          <w:rFonts w:ascii="黑体" w:hAnsi="黑体" w:cs="宋体"/>
          <w:bCs w:val="0"/>
          <w:color w:val="000000" w:themeColor="text1"/>
          <w:sz w:val="28"/>
          <w:szCs w:val="28"/>
          <w:highlight w:val="none"/>
          <w14:textFill>
            <w14:solidFill>
              <w14:schemeClr w14:val="tx1"/>
            </w14:solidFill>
          </w14:textFill>
        </w:rPr>
      </w:pPr>
      <w:r>
        <w:rPr>
          <w:rFonts w:hint="eastAsia" w:ascii="黑体" w:hAnsi="黑体" w:cs="宋体"/>
          <w:bCs w:val="0"/>
          <w:color w:val="000000" w:themeColor="text1"/>
          <w:sz w:val="28"/>
          <w:szCs w:val="28"/>
          <w:highlight w:val="none"/>
          <w14:textFill>
            <w14:solidFill>
              <w14:schemeClr w14:val="tx1"/>
            </w14:solidFill>
          </w14:textFill>
        </w:rPr>
        <w:t>八、凡对本次采购提出询问，请按</w:t>
      </w:r>
      <w:r>
        <w:rPr>
          <w:rFonts w:ascii="黑体" w:hAnsi="黑体" w:cs="宋体"/>
          <w:bCs w:val="0"/>
          <w:color w:val="000000" w:themeColor="text1"/>
          <w:sz w:val="28"/>
          <w:szCs w:val="28"/>
          <w:highlight w:val="none"/>
          <w14:textFill>
            <w14:solidFill>
              <w14:schemeClr w14:val="tx1"/>
            </w14:solidFill>
          </w14:textFill>
        </w:rPr>
        <w:t>以下方式</w:t>
      </w:r>
      <w:r>
        <w:rPr>
          <w:rFonts w:hint="eastAsia" w:ascii="黑体" w:hAnsi="黑体" w:cs="宋体"/>
          <w:bCs w:val="0"/>
          <w:color w:val="000000" w:themeColor="text1"/>
          <w:sz w:val="28"/>
          <w:szCs w:val="28"/>
          <w:highlight w:val="none"/>
          <w14:textFill>
            <w14:solidFill>
              <w14:schemeClr w14:val="tx1"/>
            </w14:solidFill>
          </w14:textFill>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firstLine="560" w:firstLineChars="200"/>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名      称：常州市第一中学</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firstLine="560" w:firstLineChars="200"/>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地      址：常州市椿桂坊</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firstLine="560" w:firstLineChars="200"/>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联系方式：朱老师    电话：13815054588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名      称：常州中宇建设工程管理有限公司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地　　址：常州钟楼区大仓路65号（博济五星智造园）8号楼2楼209室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联系方式：0519-85782055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项目联系人：蒋鹏飞</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电　　话：0519-85785155</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55"/>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公司邮箱：</w:t>
      </w: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fldChar w:fldCharType="begin"/>
      </w: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instrText xml:space="preserve"> HYPERLINK "mailto:zhongyuzhaobiao111@163.com" </w:instrText>
      </w: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fldChar w:fldCharType="separate"/>
      </w: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t>zhongyuzhaobiao111@163.com</w:t>
      </w:r>
      <w:r>
        <w:rPr>
          <w:rFonts w:hint="eastAsia" w:ascii="仿宋" w:hAnsi="仿宋" w:eastAsia="仿宋" w:cs="Times New Roman"/>
          <w:b w:val="0"/>
          <w:bCs w:val="0"/>
          <w:color w:val="000000" w:themeColor="text1"/>
          <w:kern w:val="2"/>
          <w:sz w:val="28"/>
          <w:szCs w:val="28"/>
          <w:highlight w:val="none"/>
          <w:lang w:val="en-US" w:eastAsia="zh-CN" w:bidi="ar-SA"/>
          <w14:textFill>
            <w14:solidFill>
              <w14:schemeClr w14:val="tx1"/>
            </w14:solidFill>
          </w14:textFill>
        </w:rPr>
        <w:fldChar w:fldCharType="end"/>
      </w:r>
    </w:p>
    <w:p>
      <w:pPr>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ascii="仿宋" w:hAnsi="仿宋" w:eastAsia="仿宋" w:cs="仿宋"/>
          <w:b/>
          <w:bCs/>
          <w:color w:val="000000" w:themeColor="text1"/>
          <w:sz w:val="28"/>
          <w:szCs w:val="28"/>
          <w:highlight w:val="none"/>
          <w14:textFill>
            <w14:solidFill>
              <w14:schemeClr w14:val="tx1"/>
            </w14:solidFill>
          </w14:textFill>
        </w:rPr>
        <w:t>注</w:t>
      </w:r>
      <w:r>
        <w:rPr>
          <w:rFonts w:hint="eastAsia" w:ascii="仿宋" w:hAnsi="仿宋" w:eastAsia="仿宋" w:cs="仿宋"/>
          <w:b/>
          <w:bCs/>
          <w:color w:val="000000" w:themeColor="text1"/>
          <w:sz w:val="28"/>
          <w:szCs w:val="28"/>
          <w:highlight w:val="none"/>
          <w14:textFill>
            <w14:solidFill>
              <w14:schemeClr w14:val="tx1"/>
            </w14:solidFill>
          </w14:textFill>
        </w:rPr>
        <w:t>:上述个人信息由于工作需要经机构或本人同意对外公布。</w:t>
      </w:r>
    </w:p>
    <w:p>
      <w:pPr>
        <w:spacing w:line="360" w:lineRule="auto"/>
        <w:jc w:val="center"/>
        <w:outlineLvl w:val="0"/>
        <w:rPr>
          <w:rFonts w:ascii="仿宋" w:hAnsi="仿宋" w:eastAsia="仿宋"/>
          <w:b/>
          <w:color w:val="000000" w:themeColor="text1"/>
          <w:sz w:val="44"/>
          <w:szCs w:val="21"/>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br w:type="page"/>
      </w:r>
      <w:bookmarkEnd w:id="1"/>
      <w:bookmarkEnd w:id="2"/>
      <w:bookmarkStart w:id="5" w:name="_Toc463253082"/>
      <w:bookmarkStart w:id="6" w:name="_Toc401414765"/>
      <w:r>
        <w:rPr>
          <w:rFonts w:ascii="仿宋" w:hAnsi="仿宋" w:eastAsia="仿宋"/>
          <w:b/>
          <w:color w:val="000000" w:themeColor="text1"/>
          <w:sz w:val="44"/>
          <w:szCs w:val="21"/>
          <w:highlight w:val="none"/>
          <w14:textFill>
            <w14:solidFill>
              <w14:schemeClr w14:val="tx1"/>
            </w14:solidFill>
          </w14:textFill>
        </w:rPr>
        <w:t xml:space="preserve">第二章  </w:t>
      </w:r>
      <w:bookmarkStart w:id="7" w:name="_Toc16938518"/>
      <w:bookmarkStart w:id="8" w:name="_Toc513029202"/>
      <w:bookmarkStart w:id="9" w:name="_Toc120614213"/>
      <w:bookmarkStart w:id="10" w:name="_Toc20823274"/>
      <w:r>
        <w:rPr>
          <w:rFonts w:ascii="仿宋" w:hAnsi="仿宋" w:eastAsia="仿宋"/>
          <w:b/>
          <w:color w:val="000000" w:themeColor="text1"/>
          <w:sz w:val="44"/>
          <w:szCs w:val="21"/>
          <w:highlight w:val="none"/>
          <w14:textFill>
            <w14:solidFill>
              <w14:schemeClr w14:val="tx1"/>
            </w14:solidFill>
          </w14:textFill>
        </w:rPr>
        <w:t>供应商须知</w:t>
      </w:r>
      <w:bookmarkEnd w:id="5"/>
      <w:bookmarkEnd w:id="6"/>
      <w:bookmarkEnd w:id="7"/>
      <w:bookmarkEnd w:id="8"/>
      <w:bookmarkEnd w:id="9"/>
      <w:bookmarkEnd w:id="10"/>
    </w:p>
    <w:p>
      <w:pPr>
        <w:pStyle w:val="4"/>
        <w:autoSpaceDE/>
        <w:autoSpaceDN/>
        <w:adjustRightInd/>
        <w:spacing w:before="156" w:beforeLines="50" w:after="156" w:afterLines="50" w:line="360" w:lineRule="auto"/>
        <w:ind w:firstLine="498" w:firstLineChars="155"/>
        <w:jc w:val="both"/>
        <w:rPr>
          <w:rFonts w:ascii="仿宋" w:hAnsi="仿宋" w:eastAsia="仿宋"/>
          <w:bCs/>
          <w:color w:val="000000" w:themeColor="text1"/>
          <w:sz w:val="32"/>
          <w:szCs w:val="32"/>
          <w:highlight w:val="none"/>
          <w:u w:val="none"/>
          <w14:textFill>
            <w14:solidFill>
              <w14:schemeClr w14:val="tx1"/>
            </w14:solidFill>
          </w14:textFill>
        </w:rPr>
      </w:pPr>
      <w:bookmarkStart w:id="11" w:name="_Toc20823275"/>
      <w:bookmarkStart w:id="12" w:name="_Toc513029203"/>
      <w:bookmarkStart w:id="13" w:name="_Toc120614214"/>
      <w:bookmarkStart w:id="14" w:name="_Toc16938519"/>
      <w:r>
        <w:rPr>
          <w:rFonts w:ascii="仿宋" w:hAnsi="仿宋" w:eastAsia="仿宋"/>
          <w:bCs/>
          <w:color w:val="000000" w:themeColor="text1"/>
          <w:sz w:val="32"/>
          <w:szCs w:val="32"/>
          <w:highlight w:val="none"/>
          <w:u w:val="none"/>
          <w14:textFill>
            <w14:solidFill>
              <w14:schemeClr w14:val="tx1"/>
            </w14:solidFill>
          </w14:textFill>
        </w:rPr>
        <w:t>一、总则</w:t>
      </w:r>
      <w:bookmarkEnd w:id="11"/>
      <w:bookmarkEnd w:id="12"/>
      <w:bookmarkEnd w:id="13"/>
      <w:bookmarkEnd w:id="14"/>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5" w:name="_Hlt16619475"/>
      <w:bookmarkEnd w:id="15"/>
      <w:bookmarkStart w:id="16" w:name="_Toc458694821"/>
      <w:bookmarkStart w:id="17" w:name="_Toc16938520"/>
      <w:bookmarkStart w:id="18" w:name="_Toc513029204"/>
      <w:bookmarkStart w:id="19" w:name="_Toc20823276"/>
      <w:r>
        <w:rPr>
          <w:rFonts w:ascii="仿宋" w:hAnsi="仿宋" w:eastAsia="仿宋"/>
          <w:bCs w:val="0"/>
          <w:color w:val="000000" w:themeColor="text1"/>
          <w:highlight w:val="none"/>
          <w14:textFill>
            <w14:solidFill>
              <w14:schemeClr w14:val="tx1"/>
            </w14:solidFill>
          </w14:textFill>
        </w:rPr>
        <w:t>1</w:t>
      </w:r>
      <w:bookmarkEnd w:id="16"/>
      <w:r>
        <w:rPr>
          <w:rFonts w:ascii="仿宋" w:hAnsi="仿宋" w:eastAsia="仿宋"/>
          <w:bCs w:val="0"/>
          <w:color w:val="000000" w:themeColor="text1"/>
          <w:highlight w:val="none"/>
          <w14:textFill>
            <w14:solidFill>
              <w14:schemeClr w14:val="tx1"/>
            </w14:solidFill>
          </w14:textFill>
        </w:rPr>
        <w:t>、</w:t>
      </w:r>
      <w:r>
        <w:rPr>
          <w:rFonts w:hint="eastAsia" w:ascii="仿宋" w:hAnsi="仿宋" w:eastAsia="仿宋"/>
          <w:bCs w:val="0"/>
          <w:color w:val="000000" w:themeColor="text1"/>
          <w:highlight w:val="none"/>
          <w14:textFill>
            <w14:solidFill>
              <w14:schemeClr w14:val="tx1"/>
            </w14:solidFill>
          </w14:textFill>
        </w:rPr>
        <w:t>采购</w:t>
      </w:r>
      <w:r>
        <w:rPr>
          <w:rFonts w:ascii="仿宋" w:hAnsi="仿宋" w:eastAsia="仿宋"/>
          <w:bCs w:val="0"/>
          <w:color w:val="000000" w:themeColor="text1"/>
          <w:highlight w:val="none"/>
          <w14:textFill>
            <w14:solidFill>
              <w14:schemeClr w14:val="tx1"/>
            </w14:solidFill>
          </w14:textFill>
        </w:rPr>
        <w:t>方式</w:t>
      </w:r>
      <w:bookmarkEnd w:id="17"/>
      <w:bookmarkEnd w:id="18"/>
      <w:bookmarkEnd w:id="19"/>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本次</w:t>
      </w:r>
      <w:r>
        <w:rPr>
          <w:rFonts w:hint="eastAsia" w:ascii="仿宋" w:hAnsi="仿宋" w:eastAsia="仿宋"/>
          <w:color w:val="000000" w:themeColor="text1"/>
          <w:sz w:val="24"/>
          <w:highlight w:val="none"/>
          <w14:textFill>
            <w14:solidFill>
              <w14:schemeClr w14:val="tx1"/>
            </w14:solidFill>
          </w14:textFill>
        </w:rPr>
        <w:t>采购</w:t>
      </w:r>
      <w:r>
        <w:rPr>
          <w:rFonts w:ascii="仿宋" w:hAnsi="仿宋" w:eastAsia="仿宋"/>
          <w:color w:val="000000" w:themeColor="text1"/>
          <w:sz w:val="24"/>
          <w:highlight w:val="none"/>
          <w14:textFill>
            <w14:solidFill>
              <w14:schemeClr w14:val="tx1"/>
            </w14:solidFill>
          </w14:textFill>
        </w:rPr>
        <w:t>采取</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方式，本文件仅适用于</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公告中所述</w:t>
      </w:r>
      <w:r>
        <w:rPr>
          <w:rFonts w:hint="eastAsia" w:ascii="仿宋" w:hAnsi="仿宋" w:eastAsia="仿宋"/>
          <w:color w:val="000000" w:themeColor="text1"/>
          <w:sz w:val="24"/>
          <w:highlight w:val="none"/>
          <w14:textFill>
            <w14:solidFill>
              <w14:schemeClr w14:val="tx1"/>
            </w14:solidFill>
          </w14:textFill>
        </w:rPr>
        <w:t>项目</w:t>
      </w:r>
      <w:r>
        <w:rPr>
          <w:rFonts w:ascii="仿宋" w:hAnsi="仿宋" w:eastAsia="仿宋"/>
          <w:color w:val="000000" w:themeColor="text1"/>
          <w:sz w:val="24"/>
          <w:highlight w:val="none"/>
          <w14:textFill>
            <w14:solidFill>
              <w14:schemeClr w14:val="tx1"/>
            </w14:solidFill>
          </w14:textFill>
        </w:rPr>
        <w:t>。</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20" w:name="_Toc20823277"/>
      <w:bookmarkStart w:id="21" w:name="_Toc16938521"/>
      <w:bookmarkStart w:id="22" w:name="_Toc513029205"/>
      <w:r>
        <w:rPr>
          <w:rFonts w:ascii="仿宋" w:hAnsi="仿宋" w:eastAsia="仿宋"/>
          <w:bCs w:val="0"/>
          <w:color w:val="000000" w:themeColor="text1"/>
          <w:highlight w:val="none"/>
          <w14:textFill>
            <w14:solidFill>
              <w14:schemeClr w14:val="tx1"/>
            </w14:solidFill>
          </w14:textFill>
        </w:rPr>
        <w:t>2、合格的</w:t>
      </w:r>
      <w:bookmarkEnd w:id="20"/>
      <w:bookmarkEnd w:id="21"/>
      <w:bookmarkEnd w:id="22"/>
      <w:r>
        <w:rPr>
          <w:rFonts w:ascii="仿宋" w:hAnsi="仿宋" w:eastAsia="仿宋"/>
          <w:bCs w:val="0"/>
          <w:color w:val="000000" w:themeColor="text1"/>
          <w:highlight w:val="none"/>
          <w14:textFill>
            <w14:solidFill>
              <w14:schemeClr w14:val="tx1"/>
            </w14:solidFill>
          </w14:textFill>
        </w:rPr>
        <w:t>供应商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 1满足</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公告中</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供应商资格要求</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的规定。</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 2 满足本文件实质性条款的规定。</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 3本竞争性谈判文件中所有带★号的内容均为实质性条款，如供应商递交的响应文件不符合实质性条款的要求，将作为无效响应文件处理。</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23" w:name="_Toc20823278"/>
      <w:bookmarkStart w:id="24" w:name="_Toc16938522"/>
      <w:bookmarkStart w:id="25" w:name="_Toc513029206"/>
      <w:r>
        <w:rPr>
          <w:rFonts w:ascii="仿宋" w:hAnsi="仿宋" w:eastAsia="仿宋"/>
          <w:bCs w:val="0"/>
          <w:color w:val="000000" w:themeColor="text1"/>
          <w:highlight w:val="none"/>
          <w14:textFill>
            <w14:solidFill>
              <w14:schemeClr w14:val="tx1"/>
            </w14:solidFill>
          </w14:textFill>
        </w:rPr>
        <w:t>3、适用</w:t>
      </w:r>
      <w:r>
        <w:rPr>
          <w:rFonts w:hint="eastAsia" w:ascii="仿宋" w:hAnsi="仿宋" w:eastAsia="仿宋"/>
          <w:bCs w:val="0"/>
          <w:color w:val="000000" w:themeColor="text1"/>
          <w:highlight w:val="none"/>
          <w14:textFill>
            <w14:solidFill>
              <w14:schemeClr w14:val="tx1"/>
            </w14:solidFill>
          </w14:textFill>
        </w:rPr>
        <w:t>范围及定义</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hint="eastAsia" w:ascii="仿宋" w:hAnsi="仿宋" w:eastAsia="仿宋"/>
          <w:bCs w:val="0"/>
          <w:color w:val="000000" w:themeColor="text1"/>
          <w:highlight w:val="none"/>
          <w14:textFill>
            <w14:solidFill>
              <w14:schemeClr w14:val="tx1"/>
            </w14:solidFill>
          </w14:textFill>
        </w:rPr>
        <w:t>3.1适用范围</w:t>
      </w:r>
      <w:bookmarkEnd w:id="23"/>
      <w:bookmarkEnd w:id="24"/>
      <w:bookmarkEnd w:id="25"/>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依据公开、公平、公正、诚实信用的原则制定本须知。</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hint="eastAsia" w:ascii="仿宋" w:hAnsi="仿宋" w:eastAsia="仿宋"/>
          <w:bCs w:val="0"/>
          <w:color w:val="000000" w:themeColor="text1"/>
          <w:highlight w:val="none"/>
          <w14:textFill>
            <w14:solidFill>
              <w14:schemeClr w14:val="tx1"/>
            </w14:solidFill>
          </w14:textFill>
        </w:rPr>
        <w:t>3.2定义</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3.2.1 “重大违法记录”系指谈判供应商因违法经营受到刑事处罚或者责令停产停业、吊销许可证或者执照、较大数额罚款等行政处罚。</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3.2.2“不良行为记录”系指在招投标活动中因违反相关规定被政府采购及招投标监管部门列入不良行为记录名单的（包含本须知第16.5条中相关内容）。</w:t>
      </w:r>
    </w:p>
    <w:p>
      <w:pPr>
        <w:spacing w:line="360" w:lineRule="auto"/>
        <w:ind w:firstLine="480" w:firstLineChars="200"/>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3.2.3“参加采购活动前二年”是以响应文件的递交截止时间为时间点向前追溯。</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26" w:name="_Toc20823279"/>
      <w:bookmarkStart w:id="27" w:name="_Toc462564067"/>
      <w:bookmarkStart w:id="28" w:name="_Toc513029207"/>
      <w:bookmarkStart w:id="29" w:name="_Toc16938523"/>
      <w:r>
        <w:rPr>
          <w:rFonts w:ascii="仿宋" w:hAnsi="仿宋" w:eastAsia="仿宋"/>
          <w:bCs w:val="0"/>
          <w:color w:val="000000" w:themeColor="text1"/>
          <w:highlight w:val="none"/>
          <w14:textFill>
            <w14:solidFill>
              <w14:schemeClr w14:val="tx1"/>
            </w14:solidFill>
          </w14:textFill>
        </w:rPr>
        <w:t>4、</w:t>
      </w:r>
      <w:bookmarkEnd w:id="26"/>
      <w:bookmarkEnd w:id="27"/>
      <w:bookmarkEnd w:id="28"/>
      <w:bookmarkEnd w:id="29"/>
      <w:r>
        <w:rPr>
          <w:rFonts w:hint="eastAsia" w:ascii="仿宋" w:hAnsi="仿宋" w:eastAsia="仿宋"/>
          <w:bCs w:val="0"/>
          <w:color w:val="000000" w:themeColor="text1"/>
          <w:highlight w:val="none"/>
          <w14:textFill>
            <w14:solidFill>
              <w14:schemeClr w14:val="tx1"/>
            </w14:solidFill>
          </w14:textFill>
        </w:rPr>
        <w:t>谈判</w:t>
      </w:r>
      <w:r>
        <w:rPr>
          <w:rFonts w:ascii="仿宋" w:hAnsi="仿宋" w:eastAsia="仿宋"/>
          <w:bCs w:val="0"/>
          <w:color w:val="000000" w:themeColor="text1"/>
          <w:highlight w:val="none"/>
          <w14:textFill>
            <w14:solidFill>
              <w14:schemeClr w14:val="tx1"/>
            </w14:solidFill>
          </w14:textFill>
        </w:rPr>
        <w:t>费用</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4.1 供应商应自行承担所有与参加</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有关的费用，无论</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过程中的做法和结果如何，</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在任何情况下均无义务和责任承担这些费用。</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4.2</w:t>
      </w:r>
      <w:r>
        <w:rPr>
          <w:rFonts w:hint="eastAsia" w:ascii="仿宋" w:hAnsi="仿宋" w:eastAsia="仿宋"/>
          <w:color w:val="000000" w:themeColor="text1"/>
          <w:sz w:val="24"/>
          <w:highlight w:val="none"/>
          <w14:textFill>
            <w14:solidFill>
              <w14:schemeClr w14:val="tx1"/>
            </w14:solidFill>
          </w14:textFill>
        </w:rPr>
        <w:t>招标代理服务收费标准</w:t>
      </w:r>
    </w:p>
    <w:p>
      <w:pPr>
        <w:spacing w:line="36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成交供应商须按其成交总金额的1.5%计算并支付成交服务费，以及相关费用之合计数缴纳项目服务费用。其中成交服务费最</w:t>
      </w:r>
      <w:r>
        <w:rPr>
          <w:rFonts w:ascii="仿宋" w:hAnsi="仿宋" w:eastAsia="仿宋"/>
          <w:b/>
          <w:bCs/>
          <w:color w:val="000000" w:themeColor="text1"/>
          <w:sz w:val="24"/>
          <w:highlight w:val="none"/>
          <w14:textFill>
            <w14:solidFill>
              <w14:schemeClr w14:val="tx1"/>
            </w14:solidFill>
          </w14:textFill>
        </w:rPr>
        <w:t>低</w:t>
      </w:r>
      <w:r>
        <w:rPr>
          <w:rFonts w:hint="eastAsia" w:ascii="仿宋" w:hAnsi="仿宋" w:eastAsia="仿宋"/>
          <w:b/>
          <w:bCs/>
          <w:color w:val="000000" w:themeColor="text1"/>
          <w:sz w:val="24"/>
          <w:highlight w:val="none"/>
          <w14:textFill>
            <w14:solidFill>
              <w14:schemeClr w14:val="tx1"/>
            </w14:solidFill>
          </w14:textFill>
        </w:rPr>
        <w:t>收费为人民币</w:t>
      </w:r>
      <w:r>
        <w:rPr>
          <w:rFonts w:hint="eastAsia" w:ascii="仿宋" w:hAnsi="仿宋" w:eastAsia="仿宋"/>
          <w:b/>
          <w:bCs/>
          <w:color w:val="000000" w:themeColor="text1"/>
          <w:sz w:val="24"/>
          <w:highlight w:val="none"/>
          <w:lang w:val="en-US" w:eastAsia="zh-CN"/>
          <w14:textFill>
            <w14:solidFill>
              <w14:schemeClr w14:val="tx1"/>
            </w14:solidFill>
          </w14:textFill>
        </w:rPr>
        <w:t>20</w:t>
      </w:r>
      <w:r>
        <w:rPr>
          <w:rFonts w:hint="eastAsia" w:ascii="仿宋" w:hAnsi="仿宋" w:eastAsia="仿宋"/>
          <w:b/>
          <w:bCs/>
          <w:color w:val="000000" w:themeColor="text1"/>
          <w:sz w:val="24"/>
          <w:highlight w:val="none"/>
          <w14:textFill>
            <w14:solidFill>
              <w14:schemeClr w14:val="tx1"/>
            </w14:solidFill>
          </w14:textFill>
        </w:rPr>
        <w:t>00元，若按上述计算方式不足人民币</w:t>
      </w:r>
      <w:r>
        <w:rPr>
          <w:rFonts w:hint="eastAsia" w:ascii="仿宋" w:hAnsi="仿宋" w:eastAsia="仿宋"/>
          <w:b/>
          <w:bCs/>
          <w:color w:val="000000" w:themeColor="text1"/>
          <w:sz w:val="24"/>
          <w:highlight w:val="none"/>
          <w:lang w:val="en-US" w:eastAsia="zh-CN"/>
          <w14:textFill>
            <w14:solidFill>
              <w14:schemeClr w14:val="tx1"/>
            </w14:solidFill>
          </w14:textFill>
        </w:rPr>
        <w:t>20</w:t>
      </w:r>
      <w:r>
        <w:rPr>
          <w:rFonts w:hint="eastAsia" w:ascii="仿宋" w:hAnsi="仿宋" w:eastAsia="仿宋"/>
          <w:b/>
          <w:bCs/>
          <w:color w:val="000000" w:themeColor="text1"/>
          <w:sz w:val="24"/>
          <w:highlight w:val="none"/>
          <w14:textFill>
            <w14:solidFill>
              <w14:schemeClr w14:val="tx1"/>
            </w14:solidFill>
          </w14:textFill>
        </w:rPr>
        <w:t>00元的，则按人民币</w:t>
      </w:r>
      <w:r>
        <w:rPr>
          <w:rFonts w:hint="eastAsia" w:ascii="仿宋" w:hAnsi="仿宋" w:eastAsia="仿宋"/>
          <w:b/>
          <w:bCs/>
          <w:color w:val="000000" w:themeColor="text1"/>
          <w:sz w:val="24"/>
          <w:highlight w:val="none"/>
          <w:lang w:val="en-US" w:eastAsia="zh-CN"/>
          <w14:textFill>
            <w14:solidFill>
              <w14:schemeClr w14:val="tx1"/>
            </w14:solidFill>
          </w14:textFill>
        </w:rPr>
        <w:t>20</w:t>
      </w:r>
      <w:r>
        <w:rPr>
          <w:rFonts w:hint="eastAsia" w:ascii="仿宋" w:hAnsi="仿宋" w:eastAsia="仿宋"/>
          <w:b/>
          <w:bCs/>
          <w:color w:val="000000" w:themeColor="text1"/>
          <w:sz w:val="24"/>
          <w:highlight w:val="none"/>
          <w14:textFill>
            <w14:solidFill>
              <w14:schemeClr w14:val="tx1"/>
            </w14:solidFill>
          </w14:textFill>
        </w:rPr>
        <w:t>00元收取。</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4.3</w:t>
      </w:r>
      <w:r>
        <w:rPr>
          <w:rFonts w:ascii="仿宋" w:hAnsi="仿宋" w:eastAsia="仿宋"/>
          <w:color w:val="000000" w:themeColor="text1"/>
          <w:sz w:val="24"/>
          <w:highlight w:val="none"/>
          <w14:textFill>
            <w14:solidFill>
              <w14:schemeClr w14:val="tx1"/>
            </w14:solidFill>
          </w14:textFill>
        </w:rPr>
        <w:t>本次招标</w:t>
      </w:r>
      <w:r>
        <w:rPr>
          <w:rFonts w:hint="eastAsia" w:ascii="仿宋" w:hAnsi="仿宋" w:eastAsia="仿宋" w:cs="Arial Unicode MS"/>
          <w:b/>
          <w:bCs/>
          <w:color w:val="000000" w:themeColor="text1"/>
          <w:kern w:val="0"/>
          <w:sz w:val="24"/>
          <w:highlight w:val="none"/>
          <w14:textFill>
            <w14:solidFill>
              <w14:schemeClr w14:val="tx1"/>
            </w14:solidFill>
          </w14:textFill>
        </w:rPr>
        <w:t>按4.2条</w:t>
      </w:r>
      <w:r>
        <w:rPr>
          <w:rFonts w:ascii="仿宋" w:hAnsi="仿宋" w:eastAsia="仿宋" w:cs="Arial Unicode MS"/>
          <w:b/>
          <w:bCs/>
          <w:color w:val="000000" w:themeColor="text1"/>
          <w:kern w:val="0"/>
          <w:sz w:val="24"/>
          <w:highlight w:val="none"/>
          <w14:textFill>
            <w14:solidFill>
              <w14:schemeClr w14:val="tx1"/>
            </w14:solidFill>
          </w14:textFill>
        </w:rPr>
        <w:t>内容</w:t>
      </w:r>
      <w:r>
        <w:rPr>
          <w:rFonts w:hint="eastAsia" w:ascii="仿宋" w:hAnsi="仿宋" w:eastAsia="仿宋" w:cs="Arial Unicode MS"/>
          <w:b/>
          <w:bCs/>
          <w:color w:val="000000" w:themeColor="text1"/>
          <w:kern w:val="0"/>
          <w:sz w:val="24"/>
          <w:highlight w:val="none"/>
          <w14:textFill>
            <w14:solidFill>
              <w14:schemeClr w14:val="tx1"/>
            </w14:solidFill>
          </w14:textFill>
        </w:rPr>
        <w:t>计算中标服务费</w:t>
      </w:r>
      <w:r>
        <w:rPr>
          <w:rFonts w:hint="eastAsia" w:ascii="仿宋" w:hAnsi="仿宋" w:eastAsia="仿宋" w:cs="Arial Unicode MS"/>
          <w:bCs/>
          <w:color w:val="000000" w:themeColor="text1"/>
          <w:kern w:val="0"/>
          <w:sz w:val="24"/>
          <w:highlight w:val="none"/>
          <w14:textFill>
            <w14:solidFill>
              <w14:schemeClr w14:val="tx1"/>
            </w14:solidFill>
          </w14:textFill>
        </w:rPr>
        <w:t>，</w:t>
      </w:r>
      <w:r>
        <w:rPr>
          <w:rFonts w:hint="eastAsia" w:ascii="仿宋" w:hAnsi="仿宋" w:eastAsia="仿宋" w:cs="仿宋"/>
          <w:bCs/>
          <w:color w:val="000000" w:themeColor="text1"/>
          <w:kern w:val="0"/>
          <w:sz w:val="24"/>
          <w:highlight w:val="none"/>
          <w14:textFill>
            <w14:solidFill>
              <w14:schemeClr w14:val="tx1"/>
            </w14:solidFill>
          </w14:textFill>
        </w:rPr>
        <w:t>成交供应商在成交通知书发出之日起五个工作日内向采购代理机构缴纳，否则采购代理机构有权直接从其谈判保证金中扣除该项费用</w:t>
      </w:r>
      <w:r>
        <w:rPr>
          <w:rFonts w:hint="eastAsia" w:ascii="仿宋" w:hAnsi="仿宋" w:eastAsia="仿宋" w:cs="仿宋"/>
          <w:color w:val="000000" w:themeColor="text1"/>
          <w:sz w:val="24"/>
          <w:highlight w:val="none"/>
          <w14:textFill>
            <w14:solidFill>
              <w14:schemeClr w14:val="tx1"/>
            </w14:solidFill>
          </w14:textFill>
        </w:rPr>
        <w:t>。</w:t>
      </w:r>
    </w:p>
    <w:p>
      <w:pPr>
        <w:pStyle w:val="5"/>
        <w:numPr>
          <w:ilvl w:val="0"/>
          <w:numId w:val="4"/>
        </w:numPr>
        <w:spacing w:before="0" w:after="0" w:line="360" w:lineRule="auto"/>
        <w:ind w:firstLine="422" w:firstLineChars="150"/>
        <w:rPr>
          <w:rFonts w:ascii="仿宋" w:hAnsi="仿宋" w:eastAsia="仿宋" w:cs="仿宋"/>
          <w:bCs w:val="0"/>
          <w:color w:val="000000" w:themeColor="text1"/>
          <w:highlight w:val="none"/>
          <w14:textFill>
            <w14:solidFill>
              <w14:schemeClr w14:val="tx1"/>
            </w14:solidFill>
          </w14:textFill>
        </w:rPr>
      </w:pPr>
      <w:r>
        <w:rPr>
          <w:rFonts w:hint="eastAsia" w:ascii="仿宋" w:hAnsi="仿宋" w:eastAsia="仿宋" w:cs="仿宋"/>
          <w:bCs w:val="0"/>
          <w:color w:val="000000" w:themeColor="text1"/>
          <w:highlight w:val="none"/>
          <w14:textFill>
            <w14:solidFill>
              <w14:schemeClr w14:val="tx1"/>
            </w14:solidFill>
          </w14:textFill>
        </w:rPr>
        <w:t>谈判供应商代表</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指全权代表参加招标采购活动并签署响应文件、与采购人签署合同的人，如果谈判供应商代表不是法定代表人，须提供有效的《授权委托书》（格式见第六章 响应文件格式）。同一谈判供应商不得授权多人作为同一项目的谈判供应商代表，否则其响应文件将被作为无效投标。</w:t>
      </w:r>
    </w:p>
    <w:p>
      <w:pPr>
        <w:pStyle w:val="4"/>
        <w:autoSpaceDE/>
        <w:autoSpaceDN/>
        <w:adjustRightInd/>
        <w:spacing w:before="156" w:beforeLines="50" w:after="156" w:afterLines="50" w:line="360" w:lineRule="auto"/>
        <w:ind w:firstLine="498" w:firstLineChars="155"/>
        <w:jc w:val="both"/>
        <w:rPr>
          <w:rFonts w:ascii="仿宋" w:hAnsi="仿宋" w:eastAsia="仿宋"/>
          <w:bCs/>
          <w:color w:val="000000" w:themeColor="text1"/>
          <w:sz w:val="32"/>
          <w:szCs w:val="32"/>
          <w:highlight w:val="none"/>
          <w:u w:val="none"/>
          <w14:textFill>
            <w14:solidFill>
              <w14:schemeClr w14:val="tx1"/>
            </w14:solidFill>
          </w14:textFill>
        </w:rPr>
      </w:pPr>
      <w:bookmarkStart w:id="30" w:name="_Toc120614215"/>
      <w:bookmarkStart w:id="31" w:name="_Toc513029209"/>
      <w:bookmarkStart w:id="32" w:name="_Toc16938525"/>
      <w:bookmarkStart w:id="33" w:name="_Toc20823281"/>
      <w:r>
        <w:rPr>
          <w:rFonts w:ascii="仿宋" w:hAnsi="仿宋" w:eastAsia="仿宋"/>
          <w:bCs/>
          <w:color w:val="000000" w:themeColor="text1"/>
          <w:sz w:val="32"/>
          <w:szCs w:val="32"/>
          <w:highlight w:val="none"/>
          <w:u w:val="none"/>
          <w14:textFill>
            <w14:solidFill>
              <w14:schemeClr w14:val="tx1"/>
            </w14:solidFill>
          </w14:textFill>
        </w:rPr>
        <w:t>二、</w:t>
      </w:r>
      <w:bookmarkEnd w:id="30"/>
      <w:bookmarkEnd w:id="31"/>
      <w:bookmarkEnd w:id="32"/>
      <w:bookmarkEnd w:id="33"/>
      <w:r>
        <w:rPr>
          <w:rFonts w:ascii="仿宋" w:hAnsi="仿宋" w:eastAsia="仿宋"/>
          <w:bCs/>
          <w:color w:val="000000" w:themeColor="text1"/>
          <w:sz w:val="32"/>
          <w:szCs w:val="32"/>
          <w:highlight w:val="none"/>
          <w:u w:val="none"/>
          <w14:textFill>
            <w14:solidFill>
              <w14:schemeClr w14:val="tx1"/>
            </w14:solidFill>
          </w14:textFill>
        </w:rPr>
        <w:t>竞争性谈判文件</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34" w:name="_Toc20823282"/>
      <w:bookmarkStart w:id="35" w:name="_Toc513029210"/>
      <w:bookmarkStart w:id="36" w:name="_Toc16938526"/>
      <w:r>
        <w:rPr>
          <w:rFonts w:ascii="仿宋" w:hAnsi="仿宋" w:eastAsia="仿宋"/>
          <w:bCs w:val="0"/>
          <w:color w:val="000000" w:themeColor="text1"/>
          <w:highlight w:val="none"/>
          <w14:textFill>
            <w14:solidFill>
              <w14:schemeClr w14:val="tx1"/>
            </w14:solidFill>
          </w14:textFill>
        </w:rPr>
        <w:t>6、</w:t>
      </w:r>
      <w:r>
        <w:rPr>
          <w:rFonts w:hint="eastAsia" w:ascii="仿宋" w:hAnsi="仿宋" w:eastAsia="仿宋"/>
          <w:bCs w:val="0"/>
          <w:color w:val="000000" w:themeColor="text1"/>
          <w:highlight w:val="none"/>
          <w14:textFill>
            <w14:solidFill>
              <w14:schemeClr w14:val="tx1"/>
            </w14:solidFill>
          </w14:textFill>
        </w:rPr>
        <w:t>竞争性谈判</w:t>
      </w:r>
      <w:r>
        <w:rPr>
          <w:rFonts w:ascii="仿宋" w:hAnsi="仿宋" w:eastAsia="仿宋"/>
          <w:bCs w:val="0"/>
          <w:color w:val="000000" w:themeColor="text1"/>
          <w:highlight w:val="none"/>
          <w14:textFill>
            <w14:solidFill>
              <w14:schemeClr w14:val="tx1"/>
            </w14:solidFill>
          </w14:textFill>
        </w:rPr>
        <w:t>文件构成</w:t>
      </w:r>
      <w:bookmarkEnd w:id="34"/>
      <w:bookmarkEnd w:id="35"/>
      <w:bookmarkEnd w:id="36"/>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6.1 </w:t>
      </w:r>
      <w:r>
        <w:rPr>
          <w:rFonts w:hint="eastAsia" w:ascii="仿宋" w:hAnsi="仿宋" w:eastAsia="仿宋"/>
          <w:color w:val="000000" w:themeColor="text1"/>
          <w:sz w:val="24"/>
          <w:highlight w:val="none"/>
          <w14:textFill>
            <w14:solidFill>
              <w14:schemeClr w14:val="tx1"/>
            </w14:solidFill>
          </w14:textFill>
        </w:rPr>
        <w:t>竞争性</w:t>
      </w:r>
      <w:r>
        <w:rPr>
          <w:rFonts w:hint="eastAsia" w:ascii="仿宋" w:hAnsi="仿宋" w:eastAsia="仿宋"/>
          <w:bCs/>
          <w:color w:val="000000" w:themeColor="text1"/>
          <w:highlight w:val="none"/>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文件是用以阐明所需内容、采购程序的资料。本竞争性</w:t>
      </w:r>
      <w:r>
        <w:rPr>
          <w:rFonts w:hint="eastAsia" w:ascii="仿宋" w:hAnsi="仿宋" w:eastAsia="仿宋"/>
          <w:bCs/>
          <w:color w:val="000000" w:themeColor="text1"/>
          <w:highlight w:val="none"/>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文件、采购代理机构在开标前发出的答疑纪要和其他补充修改函件，均是竞争性</w:t>
      </w:r>
      <w:r>
        <w:rPr>
          <w:rFonts w:hint="eastAsia" w:ascii="仿宋" w:hAnsi="仿宋" w:eastAsia="仿宋"/>
          <w:bCs/>
          <w:color w:val="000000" w:themeColor="text1"/>
          <w:highlight w:val="none"/>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文件的组成部分，对谈判供应商起约束作用。竞争性谈判文件有以下部分组成：</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文件有以下部分组成：</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 xml:space="preserve">公告    </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（2）供应商须知</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（3）项目需求</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（4）合同</w:t>
      </w:r>
      <w:r>
        <w:rPr>
          <w:rFonts w:hint="eastAsia" w:ascii="仿宋" w:hAnsi="仿宋" w:eastAsia="仿宋"/>
          <w:color w:val="000000" w:themeColor="text1"/>
          <w:sz w:val="24"/>
          <w:highlight w:val="none"/>
          <w14:textFill>
            <w14:solidFill>
              <w14:schemeClr w14:val="tx1"/>
            </w14:solidFill>
          </w14:textFill>
        </w:rPr>
        <w:t>主要条款</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（5）评标方法与评标标准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（6）响应文件格式</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请仔细检查</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文件是否齐全，如有缺漏请立即与</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联系解决。</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6.2 供应商应认真阅读</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文件中所有的事项、格式、条款和规范等要求。按</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文件要求和规定编制响应文件，并保证所提供的全部资料的真实性，以使其响应文件对</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文件作出实质性响应，否则其风险由供应商自行承担。</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6.3</w:t>
      </w:r>
      <w:r>
        <w:rPr>
          <w:rFonts w:ascii="仿宋" w:hAnsi="仿宋" w:eastAsia="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一旦购买了本</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w:t>
      </w:r>
      <w:r>
        <w:rPr>
          <w:rFonts w:hint="eastAsia" w:ascii="仿宋" w:hAnsi="仿宋" w:eastAsia="仿宋" w:cs="仿宋"/>
          <w:color w:val="000000" w:themeColor="text1"/>
          <w:sz w:val="24"/>
          <w:highlight w:val="none"/>
          <w14:textFill>
            <w14:solidFill>
              <w14:schemeClr w14:val="tx1"/>
            </w14:solidFill>
          </w14:textFill>
        </w:rPr>
        <w:t>并决定参加</w:t>
      </w:r>
      <w:r>
        <w:rPr>
          <w:rFonts w:hint="eastAsia" w:ascii="仿宋" w:hAnsi="仿宋" w:eastAsia="仿宋"/>
          <w:color w:val="000000" w:themeColor="text1"/>
          <w:sz w:val="24"/>
          <w:highlight w:val="none"/>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，即被认为接受了本</w:t>
      </w:r>
      <w:r>
        <w:rPr>
          <w:rFonts w:hint="eastAsia" w:ascii="仿宋" w:hAnsi="仿宋" w:eastAsia="仿宋"/>
          <w:color w:val="000000" w:themeColor="text1"/>
          <w:sz w:val="24"/>
          <w:highlight w:val="none"/>
          <w14:textFill>
            <w14:solidFill>
              <w14:schemeClr w14:val="tx1"/>
            </w14:solidFill>
          </w14:textFill>
        </w:rPr>
        <w:t>竞争性谈判</w:t>
      </w:r>
      <w:r>
        <w:rPr>
          <w:rFonts w:hint="eastAsia" w:ascii="仿宋" w:hAnsi="仿宋" w:eastAsia="仿宋" w:cs="仿宋"/>
          <w:color w:val="000000" w:themeColor="text1"/>
          <w:sz w:val="24"/>
          <w:highlight w:val="none"/>
          <w14:textFill>
            <w14:solidFill>
              <w14:schemeClr w14:val="tx1"/>
            </w14:solidFill>
          </w14:textFill>
        </w:rPr>
        <w:t>文件的规定和约束，</w:t>
      </w:r>
      <w:r>
        <w:rPr>
          <w:rFonts w:ascii="仿宋" w:hAnsi="仿宋" w:eastAsia="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应当按照</w:t>
      </w:r>
      <w:r>
        <w:rPr>
          <w:rFonts w:hint="eastAsia" w:ascii="仿宋" w:hAnsi="仿宋" w:eastAsia="仿宋"/>
          <w:color w:val="000000" w:themeColor="text1"/>
          <w:sz w:val="24"/>
          <w:highlight w:val="none"/>
          <w14:textFill>
            <w14:solidFill>
              <w14:schemeClr w14:val="tx1"/>
            </w14:solidFill>
          </w14:textFill>
        </w:rPr>
        <w:t>竞争性谈判</w:t>
      </w:r>
      <w:r>
        <w:rPr>
          <w:rFonts w:hint="eastAsia" w:ascii="仿宋" w:hAnsi="仿宋" w:eastAsia="仿宋" w:cs="仿宋"/>
          <w:color w:val="000000" w:themeColor="text1"/>
          <w:sz w:val="24"/>
          <w:highlight w:val="none"/>
          <w14:textFill>
            <w14:solidFill>
              <w14:schemeClr w14:val="tx1"/>
            </w14:solidFill>
          </w14:textFill>
        </w:rPr>
        <w:t>文件的规定制作响应文件并参加</w:t>
      </w:r>
      <w:r>
        <w:rPr>
          <w:rFonts w:hint="eastAsia" w:ascii="仿宋" w:hAnsi="仿宋" w:eastAsia="仿宋"/>
          <w:color w:val="000000" w:themeColor="text1"/>
          <w:sz w:val="24"/>
          <w:highlight w:val="none"/>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37" w:name="_Toc513029211"/>
      <w:bookmarkStart w:id="38" w:name="_Toc20823283"/>
      <w:bookmarkStart w:id="39" w:name="_Toc16938527"/>
      <w:bookmarkStart w:id="40" w:name="_Toc462564070"/>
      <w:r>
        <w:rPr>
          <w:rFonts w:ascii="仿宋" w:hAnsi="仿宋" w:eastAsia="仿宋"/>
          <w:bCs w:val="0"/>
          <w:color w:val="000000" w:themeColor="text1"/>
          <w:highlight w:val="none"/>
          <w14:textFill>
            <w14:solidFill>
              <w14:schemeClr w14:val="tx1"/>
            </w14:solidFill>
          </w14:textFill>
        </w:rPr>
        <w:t>7、</w:t>
      </w:r>
      <w:r>
        <w:rPr>
          <w:rFonts w:hint="eastAsia" w:ascii="仿宋" w:hAnsi="仿宋" w:eastAsia="仿宋"/>
          <w:bCs w:val="0"/>
          <w:color w:val="000000" w:themeColor="text1"/>
          <w:highlight w:val="none"/>
          <w14:textFill>
            <w14:solidFill>
              <w14:schemeClr w14:val="tx1"/>
            </w14:solidFill>
          </w14:textFill>
        </w:rPr>
        <w:t>竞争性谈判</w:t>
      </w:r>
      <w:r>
        <w:rPr>
          <w:rFonts w:ascii="仿宋" w:hAnsi="仿宋" w:eastAsia="仿宋"/>
          <w:bCs w:val="0"/>
          <w:color w:val="000000" w:themeColor="text1"/>
          <w:highlight w:val="none"/>
          <w14:textFill>
            <w14:solidFill>
              <w14:schemeClr w14:val="tx1"/>
            </w14:solidFill>
          </w14:textFill>
        </w:rPr>
        <w:t>文件的澄清</w:t>
      </w:r>
      <w:bookmarkEnd w:id="37"/>
      <w:bookmarkEnd w:id="38"/>
      <w:bookmarkEnd w:id="39"/>
      <w:bookmarkEnd w:id="40"/>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7.1 任何要求对竞争性</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文件进行澄清的供应商，均应</w:t>
      </w:r>
      <w:r>
        <w:rPr>
          <w:rFonts w:hint="eastAsia" w:ascii="仿宋" w:hAnsi="仿宋" w:eastAsia="仿宋"/>
          <w:color w:val="000000" w:themeColor="text1"/>
          <w:sz w:val="24"/>
          <w:highlight w:val="none"/>
          <w14:textFill>
            <w14:solidFill>
              <w14:schemeClr w14:val="tx1"/>
            </w14:solidFill>
          </w14:textFill>
        </w:rPr>
        <w:t>按谈判公告规定的提疑时间及要求前</w:t>
      </w:r>
      <w:r>
        <w:rPr>
          <w:rFonts w:ascii="仿宋" w:hAnsi="仿宋" w:eastAsia="仿宋"/>
          <w:color w:val="000000" w:themeColor="text1"/>
          <w:sz w:val="24"/>
          <w:highlight w:val="none"/>
          <w14:textFill>
            <w14:solidFill>
              <w14:schemeClr w14:val="tx1"/>
            </w14:solidFill>
          </w14:textFill>
        </w:rPr>
        <w:t>，以书面形式</w:t>
      </w:r>
      <w:r>
        <w:rPr>
          <w:rFonts w:hint="eastAsia" w:ascii="仿宋" w:hAnsi="仿宋" w:eastAsia="仿宋"/>
          <w:color w:val="000000" w:themeColor="text1"/>
          <w:sz w:val="24"/>
          <w:highlight w:val="none"/>
          <w14:textFill>
            <w14:solidFill>
              <w14:schemeClr w14:val="tx1"/>
            </w14:solidFill>
          </w14:textFill>
        </w:rPr>
        <w:t>并加盖公章</w:t>
      </w:r>
      <w:r>
        <w:rPr>
          <w:rFonts w:ascii="仿宋" w:hAnsi="仿宋" w:eastAsia="仿宋"/>
          <w:color w:val="000000" w:themeColor="text1"/>
          <w:sz w:val="24"/>
          <w:highlight w:val="none"/>
          <w14:textFill>
            <w14:solidFill>
              <w14:schemeClr w14:val="tx1"/>
            </w14:solidFill>
          </w14:textFill>
        </w:rPr>
        <w:t>送达</w:t>
      </w:r>
      <w:r>
        <w:rPr>
          <w:rFonts w:hint="eastAsia" w:ascii="仿宋" w:hAnsi="仿宋" w:eastAsia="仿宋"/>
          <w:color w:val="000000" w:themeColor="text1"/>
          <w:sz w:val="24"/>
          <w:highlight w:val="none"/>
          <w14:textFill>
            <w14:solidFill>
              <w14:schemeClr w14:val="tx1"/>
            </w14:solidFill>
          </w14:textFill>
        </w:rPr>
        <w:t>采购代理机构，否则视为无有效疑问或澄清。</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7.2</w:t>
      </w:r>
      <w:r>
        <w:rPr>
          <w:rFonts w:hint="eastAsia" w:ascii="仿宋" w:hAnsi="仿宋" w:eastAsia="仿宋"/>
          <w:color w:val="000000" w:themeColor="text1"/>
          <w:sz w:val="24"/>
          <w:highlight w:val="none"/>
          <w14:textFill>
            <w14:solidFill>
              <w14:schemeClr w14:val="tx1"/>
            </w14:solidFill>
          </w14:textFill>
        </w:rPr>
        <w:t>若供应商认为设置的资质、条件、技术要求、商务条款、评标办法（评分标准）等存在歧视或不公正待遇的，应在上述期限内提出异议，否则视为无有效异议。供应商根据采购代理机构的答复作出是否继续参加竞争性谈判的决定。</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7.3 </w:t>
      </w:r>
      <w:r>
        <w:rPr>
          <w:rFonts w:hint="eastAsia" w:ascii="仿宋" w:hAnsi="仿宋" w:eastAsia="仿宋"/>
          <w:color w:val="000000" w:themeColor="text1"/>
          <w:sz w:val="24"/>
          <w:highlight w:val="none"/>
          <w14:textFill>
            <w14:solidFill>
              <w14:schemeClr w14:val="tx1"/>
            </w14:solidFill>
          </w14:textFill>
        </w:rPr>
        <w:t>采购人或采购代理机构</w:t>
      </w:r>
      <w:r>
        <w:rPr>
          <w:rFonts w:ascii="仿宋" w:hAnsi="仿宋" w:eastAsia="仿宋"/>
          <w:color w:val="000000" w:themeColor="text1"/>
          <w:sz w:val="24"/>
          <w:highlight w:val="none"/>
          <w14:textFill>
            <w14:solidFill>
              <w14:schemeClr w14:val="tx1"/>
            </w14:solidFill>
          </w14:textFill>
        </w:rPr>
        <w:t>将视按照上述7.1</w:t>
      </w:r>
      <w:r>
        <w:rPr>
          <w:rFonts w:hint="eastAsia" w:ascii="仿宋" w:hAnsi="仿宋" w:eastAsia="仿宋"/>
          <w:color w:val="000000" w:themeColor="text1"/>
          <w:sz w:val="24"/>
          <w:highlight w:val="none"/>
          <w14:textFill>
            <w14:solidFill>
              <w14:schemeClr w14:val="tx1"/>
            </w14:solidFill>
          </w14:textFill>
        </w:rPr>
        <w:t>、7.2条</w:t>
      </w:r>
      <w:r>
        <w:rPr>
          <w:rFonts w:ascii="仿宋" w:hAnsi="仿宋" w:eastAsia="仿宋"/>
          <w:color w:val="000000" w:themeColor="text1"/>
          <w:sz w:val="24"/>
          <w:highlight w:val="none"/>
          <w14:textFill>
            <w14:solidFill>
              <w14:schemeClr w14:val="tx1"/>
            </w14:solidFill>
          </w14:textFill>
        </w:rPr>
        <w:t>规定收到的要求澄清</w:t>
      </w:r>
      <w:r>
        <w:rPr>
          <w:rFonts w:hint="eastAsia" w:ascii="仿宋" w:hAnsi="仿宋" w:eastAsia="仿宋"/>
          <w:color w:val="000000" w:themeColor="text1"/>
          <w:sz w:val="24"/>
          <w:highlight w:val="none"/>
          <w14:textFill>
            <w14:solidFill>
              <w14:schemeClr w14:val="tx1"/>
            </w14:solidFill>
          </w14:textFill>
        </w:rPr>
        <w:t>或</w:t>
      </w:r>
      <w:r>
        <w:rPr>
          <w:rFonts w:ascii="仿宋" w:hAnsi="仿宋" w:eastAsia="仿宋"/>
          <w:color w:val="000000" w:themeColor="text1"/>
          <w:sz w:val="24"/>
          <w:highlight w:val="none"/>
          <w14:textFill>
            <w14:solidFill>
              <w14:schemeClr w14:val="tx1"/>
            </w14:solidFill>
          </w14:textFill>
        </w:rPr>
        <w:t>提出异议事项决定是否发布澄清修改公告</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或就个性化的问题回复提出澄清要求的潜在供应商。</w:t>
      </w:r>
      <w:r>
        <w:rPr>
          <w:rFonts w:hint="eastAsia" w:ascii="仿宋" w:hAnsi="仿宋" w:eastAsia="仿宋"/>
          <w:color w:val="000000" w:themeColor="text1"/>
          <w:sz w:val="24"/>
          <w:highlight w:val="none"/>
          <w14:textFill>
            <w14:solidFill>
              <w14:schemeClr w14:val="tx1"/>
            </w14:solidFill>
          </w14:textFill>
        </w:rPr>
        <w:t>为避免不正当竞争或可能泄露采购人机密等不利情形，采购代理机构对供应商的疑问可以作选择性答复。</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7.4 </w:t>
      </w:r>
      <w:r>
        <w:rPr>
          <w:rFonts w:hint="eastAsia" w:ascii="仿宋" w:hAnsi="仿宋" w:eastAsia="仿宋"/>
          <w:color w:val="000000" w:themeColor="text1"/>
          <w:sz w:val="24"/>
          <w:highlight w:val="none"/>
          <w14:textFill>
            <w14:solidFill>
              <w14:schemeClr w14:val="tx1"/>
            </w14:solidFill>
          </w14:textFill>
        </w:rPr>
        <w:t>有关本次采购的事项若存在变动或修改，采购代理机构将通过补充或更正形式在网站上发布，因未能及时了解相关最新信息所引起的投标失误责任由供应商自负。</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41" w:name="_Toc462564071"/>
      <w:bookmarkStart w:id="42" w:name="_Toc20823284"/>
      <w:bookmarkStart w:id="43" w:name="_Toc513029212"/>
      <w:bookmarkStart w:id="44" w:name="_Toc16938528"/>
      <w:r>
        <w:rPr>
          <w:rFonts w:ascii="仿宋" w:hAnsi="仿宋" w:eastAsia="仿宋"/>
          <w:bCs w:val="0"/>
          <w:color w:val="000000" w:themeColor="text1"/>
          <w:highlight w:val="none"/>
          <w14:textFill>
            <w14:solidFill>
              <w14:schemeClr w14:val="tx1"/>
            </w14:solidFill>
          </w14:textFill>
        </w:rPr>
        <w:t>8、</w:t>
      </w:r>
      <w:r>
        <w:rPr>
          <w:rFonts w:hint="eastAsia" w:ascii="仿宋" w:hAnsi="仿宋" w:eastAsia="仿宋"/>
          <w:bCs w:val="0"/>
          <w:color w:val="000000" w:themeColor="text1"/>
          <w:highlight w:val="none"/>
          <w14:textFill>
            <w14:solidFill>
              <w14:schemeClr w14:val="tx1"/>
            </w14:solidFill>
          </w14:textFill>
        </w:rPr>
        <w:t>竞争性谈判</w:t>
      </w:r>
      <w:r>
        <w:rPr>
          <w:rFonts w:ascii="仿宋" w:hAnsi="仿宋" w:eastAsia="仿宋"/>
          <w:bCs w:val="0"/>
          <w:color w:val="000000" w:themeColor="text1"/>
          <w:highlight w:val="none"/>
          <w14:textFill>
            <w14:solidFill>
              <w14:schemeClr w14:val="tx1"/>
            </w14:solidFill>
          </w14:textFill>
        </w:rPr>
        <w:t>文件的修改</w:t>
      </w:r>
      <w:bookmarkEnd w:id="41"/>
      <w:bookmarkEnd w:id="42"/>
      <w:bookmarkEnd w:id="43"/>
      <w:bookmarkEnd w:id="44"/>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8.1 </w:t>
      </w:r>
      <w:r>
        <w:rPr>
          <w:rFonts w:hint="eastAsia" w:ascii="仿宋" w:hAnsi="仿宋" w:eastAsia="仿宋"/>
          <w:color w:val="000000" w:themeColor="text1"/>
          <w:sz w:val="24"/>
          <w:highlight w:val="none"/>
          <w14:textFill>
            <w14:solidFill>
              <w14:schemeClr w14:val="tx1"/>
            </w14:solidFill>
          </w14:textFill>
        </w:rPr>
        <w:t>竞争性谈判文件发出后，在规定响应文件递交时间截止前任何时间，采购人或采购代理机构</w:t>
      </w:r>
      <w:r>
        <w:rPr>
          <w:rFonts w:ascii="仿宋" w:hAnsi="仿宋" w:eastAsia="仿宋"/>
          <w:color w:val="000000" w:themeColor="text1"/>
          <w:sz w:val="24"/>
          <w:highlight w:val="none"/>
          <w14:textFill>
            <w14:solidFill>
              <w14:schemeClr w14:val="tx1"/>
            </w14:solidFill>
          </w14:textFill>
        </w:rPr>
        <w:t>均可主动地或在解答供应商提出的澄清问题时对</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文件进行修改</w:t>
      </w:r>
      <w:r>
        <w:rPr>
          <w:rFonts w:hint="eastAsia" w:ascii="仿宋" w:hAnsi="仿宋" w:eastAsia="仿宋"/>
          <w:color w:val="000000" w:themeColor="text1"/>
          <w:sz w:val="24"/>
          <w:highlight w:val="none"/>
          <w14:textFill>
            <w14:solidFill>
              <w14:schemeClr w14:val="tx1"/>
            </w14:solidFill>
          </w14:textFill>
        </w:rPr>
        <w:t>，采购代理机构将通过补充或更正形式在网站上发布，因未能及时了解相关最新信息所引起的投标失误责任由供应商自负。</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8.2</w:t>
      </w:r>
      <w:r>
        <w:rPr>
          <w:rFonts w:hint="eastAsia" w:ascii="仿宋" w:hAnsi="仿宋" w:eastAsia="仿宋"/>
          <w:color w:val="000000" w:themeColor="text1"/>
          <w:sz w:val="24"/>
          <w:highlight w:val="none"/>
          <w14:textFill>
            <w14:solidFill>
              <w14:schemeClr w14:val="tx1"/>
            </w14:solidFill>
          </w14:textFill>
        </w:rPr>
        <w:t>采购人或采购代理机构</w:t>
      </w:r>
      <w:r>
        <w:rPr>
          <w:rFonts w:ascii="仿宋" w:hAnsi="仿宋" w:eastAsia="仿宋"/>
          <w:color w:val="000000" w:themeColor="text1"/>
          <w:sz w:val="24"/>
          <w:highlight w:val="none"/>
          <w14:textFill>
            <w14:solidFill>
              <w14:schemeClr w14:val="tx1"/>
            </w14:solidFill>
          </w14:textFill>
        </w:rPr>
        <w:t>有权按照法定的要求推迟</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截止日期和</w:t>
      </w:r>
      <w:r>
        <w:rPr>
          <w:rFonts w:hint="eastAsia" w:ascii="仿宋" w:hAnsi="仿宋" w:eastAsia="仿宋"/>
          <w:color w:val="000000" w:themeColor="text1"/>
          <w:sz w:val="24"/>
          <w:highlight w:val="none"/>
          <w14:textFill>
            <w14:solidFill>
              <w14:schemeClr w14:val="tx1"/>
            </w14:solidFill>
          </w14:textFill>
        </w:rPr>
        <w:t>竞争性谈判开始</w:t>
      </w:r>
      <w:r>
        <w:rPr>
          <w:rFonts w:ascii="仿宋" w:hAnsi="仿宋" w:eastAsia="仿宋"/>
          <w:color w:val="000000" w:themeColor="text1"/>
          <w:sz w:val="24"/>
          <w:highlight w:val="none"/>
          <w14:textFill>
            <w14:solidFill>
              <w14:schemeClr w14:val="tx1"/>
            </w14:solidFill>
          </w14:textFill>
        </w:rPr>
        <w:t>日期。</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8.3</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文件的修改</w:t>
      </w:r>
      <w:r>
        <w:rPr>
          <w:rFonts w:hint="eastAsia" w:ascii="仿宋" w:hAnsi="仿宋" w:eastAsia="仿宋"/>
          <w:color w:val="000000" w:themeColor="text1"/>
          <w:sz w:val="24"/>
          <w:highlight w:val="none"/>
          <w14:textFill>
            <w14:solidFill>
              <w14:schemeClr w14:val="tx1"/>
            </w14:solidFill>
          </w14:textFill>
        </w:rPr>
        <w:t>和</w:t>
      </w:r>
      <w:r>
        <w:rPr>
          <w:rFonts w:ascii="仿宋" w:hAnsi="仿宋" w:eastAsia="仿宋"/>
          <w:color w:val="000000" w:themeColor="text1"/>
          <w:sz w:val="24"/>
          <w:highlight w:val="none"/>
          <w14:textFill>
            <w14:solidFill>
              <w14:schemeClr w14:val="tx1"/>
            </w14:solidFill>
          </w14:textFill>
        </w:rPr>
        <w:t>补充文件将作为</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文件的组成部分，并对供应商具有约束力。</w:t>
      </w:r>
    </w:p>
    <w:p>
      <w:pPr>
        <w:pStyle w:val="4"/>
        <w:autoSpaceDE/>
        <w:autoSpaceDN/>
        <w:adjustRightInd/>
        <w:spacing w:before="156" w:beforeLines="50" w:after="156" w:afterLines="50" w:line="360" w:lineRule="auto"/>
        <w:ind w:firstLine="498" w:firstLineChars="155"/>
        <w:jc w:val="both"/>
        <w:rPr>
          <w:rFonts w:ascii="仿宋" w:hAnsi="仿宋" w:eastAsia="仿宋"/>
          <w:bCs/>
          <w:color w:val="000000" w:themeColor="text1"/>
          <w:sz w:val="32"/>
          <w:szCs w:val="32"/>
          <w:highlight w:val="none"/>
          <w:u w:val="none"/>
          <w14:textFill>
            <w14:solidFill>
              <w14:schemeClr w14:val="tx1"/>
            </w14:solidFill>
          </w14:textFill>
        </w:rPr>
      </w:pPr>
      <w:bookmarkStart w:id="45" w:name="_Toc513029213"/>
      <w:bookmarkStart w:id="46" w:name="_Toc16938529"/>
      <w:bookmarkStart w:id="47" w:name="_Toc20823285"/>
      <w:bookmarkStart w:id="48" w:name="_Toc462564072"/>
      <w:bookmarkStart w:id="49" w:name="_Toc120614216"/>
      <w:r>
        <w:rPr>
          <w:rFonts w:ascii="仿宋" w:hAnsi="仿宋" w:eastAsia="仿宋"/>
          <w:bCs/>
          <w:color w:val="000000" w:themeColor="text1"/>
          <w:sz w:val="32"/>
          <w:szCs w:val="32"/>
          <w:highlight w:val="none"/>
          <w:u w:val="none"/>
          <w14:textFill>
            <w14:solidFill>
              <w14:schemeClr w14:val="tx1"/>
            </w14:solidFill>
          </w14:textFill>
        </w:rPr>
        <w:t>三、响应文件的编制</w:t>
      </w:r>
      <w:bookmarkEnd w:id="45"/>
      <w:bookmarkEnd w:id="46"/>
      <w:bookmarkEnd w:id="47"/>
      <w:bookmarkEnd w:id="48"/>
      <w:bookmarkEnd w:id="49"/>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50" w:name="_Toc513029214"/>
      <w:bookmarkStart w:id="51" w:name="_Toc20823286"/>
      <w:bookmarkStart w:id="52" w:name="_Toc16938530"/>
      <w:bookmarkStart w:id="53" w:name="_Toc462564073"/>
      <w:r>
        <w:rPr>
          <w:rFonts w:ascii="仿宋" w:hAnsi="仿宋" w:eastAsia="仿宋"/>
          <w:bCs w:val="0"/>
          <w:color w:val="000000" w:themeColor="text1"/>
          <w:highlight w:val="none"/>
          <w14:textFill>
            <w14:solidFill>
              <w14:schemeClr w14:val="tx1"/>
            </w14:solidFill>
          </w14:textFill>
        </w:rPr>
        <w:t>9、响应文件的语言及度量衡单位</w:t>
      </w:r>
      <w:bookmarkEnd w:id="50"/>
      <w:bookmarkEnd w:id="51"/>
      <w:bookmarkEnd w:id="52"/>
      <w:bookmarkEnd w:id="53"/>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9.1 供应商提交的响应文件以及供应商与</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就有关</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的所有来往通知、函件和文件均应使用简体中文。</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9.2 除技术性能另有规定外，响应文件所使用的度量衡单位，均须采用国家法定计量单位。</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54" w:name="_Toc20823287"/>
      <w:bookmarkStart w:id="55" w:name="_Toc462564074"/>
      <w:bookmarkStart w:id="56" w:name="_Toc16938531"/>
      <w:bookmarkStart w:id="57" w:name="_Toc513029215"/>
      <w:r>
        <w:rPr>
          <w:rFonts w:ascii="仿宋" w:hAnsi="仿宋" w:eastAsia="仿宋"/>
          <w:bCs w:val="0"/>
          <w:color w:val="000000" w:themeColor="text1"/>
          <w:highlight w:val="none"/>
          <w14:textFill>
            <w14:solidFill>
              <w14:schemeClr w14:val="tx1"/>
            </w14:solidFill>
          </w14:textFill>
        </w:rPr>
        <w:t>10、响应文件构成</w:t>
      </w:r>
      <w:bookmarkEnd w:id="54"/>
      <w:bookmarkEnd w:id="55"/>
      <w:bookmarkEnd w:id="56"/>
      <w:bookmarkEnd w:id="57"/>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10.1 供应商编写的响应文件</w:t>
      </w:r>
      <w:r>
        <w:rPr>
          <w:rFonts w:hint="eastAsia" w:ascii="仿宋" w:hAnsi="仿宋" w:eastAsia="仿宋"/>
          <w:color w:val="000000" w:themeColor="text1"/>
          <w:sz w:val="24"/>
          <w:highlight w:val="none"/>
          <w14:textFill>
            <w14:solidFill>
              <w14:schemeClr w14:val="tx1"/>
            </w14:solidFill>
          </w14:textFill>
        </w:rPr>
        <w:t>构成详见第六章《响应文件格式》</w:t>
      </w:r>
      <w:r>
        <w:rPr>
          <w:rFonts w:ascii="仿宋" w:hAnsi="仿宋" w:eastAsia="仿宋"/>
          <w:color w:val="000000" w:themeColor="text1"/>
          <w:sz w:val="24"/>
          <w:highlight w:val="none"/>
          <w14:textFill>
            <w14:solidFill>
              <w14:schemeClr w14:val="tx1"/>
            </w14:solidFill>
          </w14:textFill>
        </w:rPr>
        <w:t>。</w:t>
      </w:r>
    </w:p>
    <w:p>
      <w:pPr>
        <w:spacing w:line="36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ascii="仿宋" w:hAnsi="仿宋" w:eastAsia="仿宋"/>
          <w:b/>
          <w:bCs/>
          <w:color w:val="000000" w:themeColor="text1"/>
          <w:sz w:val="24"/>
          <w:highlight w:val="none"/>
          <w14:textFill>
            <w14:solidFill>
              <w14:schemeClr w14:val="tx1"/>
            </w14:solidFill>
          </w14:textFill>
        </w:rPr>
        <w:t>10.2 供应商应将响应文件</w:t>
      </w:r>
      <w:r>
        <w:rPr>
          <w:rFonts w:hint="eastAsia" w:ascii="仿宋" w:hAnsi="仿宋" w:eastAsia="仿宋"/>
          <w:b/>
          <w:bCs/>
          <w:color w:val="000000" w:themeColor="text1"/>
          <w:sz w:val="24"/>
          <w:highlight w:val="none"/>
          <w14:textFill>
            <w14:solidFill>
              <w14:schemeClr w14:val="tx1"/>
            </w14:solidFill>
          </w14:textFill>
        </w:rPr>
        <w:t>按顺序胶装成册</w:t>
      </w:r>
      <w:r>
        <w:rPr>
          <w:rFonts w:ascii="仿宋" w:hAnsi="仿宋" w:eastAsia="仿宋"/>
          <w:b/>
          <w:bCs/>
          <w:color w:val="000000" w:themeColor="text1"/>
          <w:sz w:val="24"/>
          <w:highlight w:val="none"/>
          <w14:textFill>
            <w14:solidFill>
              <w14:schemeClr w14:val="tx1"/>
            </w14:solidFill>
          </w14:textFill>
        </w:rPr>
        <w:t>，并编制响应文件资料目录。</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58" w:name="_Hlt26668975"/>
      <w:bookmarkEnd w:id="58"/>
      <w:bookmarkStart w:id="59" w:name="_Hlt26670360"/>
      <w:bookmarkEnd w:id="59"/>
      <w:bookmarkStart w:id="60" w:name="_Hlt26954838"/>
      <w:bookmarkEnd w:id="60"/>
      <w:bookmarkStart w:id="61" w:name="_Toc14577357"/>
      <w:bookmarkStart w:id="62" w:name="_Toc513029219"/>
      <w:bookmarkStart w:id="63" w:name="_Toc49090509"/>
      <w:bookmarkStart w:id="64" w:name="_Toc14577354"/>
      <w:bookmarkStart w:id="65" w:name="_Toc513029216"/>
      <w:bookmarkStart w:id="66" w:name="_Toc49090507"/>
      <w:r>
        <w:rPr>
          <w:rFonts w:ascii="仿宋" w:hAnsi="仿宋" w:eastAsia="仿宋"/>
          <w:bCs w:val="0"/>
          <w:color w:val="000000" w:themeColor="text1"/>
          <w:highlight w:val="none"/>
          <w14:textFill>
            <w14:solidFill>
              <w14:schemeClr w14:val="tx1"/>
            </w14:solidFill>
          </w14:textFill>
        </w:rPr>
        <w:t>11、证明供应商资格及符合</w:t>
      </w:r>
      <w:r>
        <w:rPr>
          <w:rFonts w:hint="eastAsia" w:ascii="仿宋" w:hAnsi="仿宋" w:eastAsia="仿宋"/>
          <w:bCs w:val="0"/>
          <w:color w:val="000000" w:themeColor="text1"/>
          <w:highlight w:val="none"/>
          <w14:textFill>
            <w14:solidFill>
              <w14:schemeClr w14:val="tx1"/>
            </w14:solidFill>
          </w14:textFill>
        </w:rPr>
        <w:t>竞争性谈判</w:t>
      </w:r>
      <w:r>
        <w:rPr>
          <w:rFonts w:ascii="仿宋" w:hAnsi="仿宋" w:eastAsia="仿宋"/>
          <w:bCs w:val="0"/>
          <w:color w:val="000000" w:themeColor="text1"/>
          <w:highlight w:val="none"/>
          <w14:textFill>
            <w14:solidFill>
              <w14:schemeClr w14:val="tx1"/>
            </w14:solidFill>
          </w14:textFill>
        </w:rPr>
        <w:t>文件规定的文件</w:t>
      </w:r>
      <w:bookmarkEnd w:id="61"/>
      <w:bookmarkEnd w:id="62"/>
      <w:bookmarkEnd w:id="63"/>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11.1</w:t>
      </w:r>
      <w:bookmarkStart w:id="67" w:name="_Hlt26668999"/>
      <w:bookmarkEnd w:id="67"/>
      <w:r>
        <w:rPr>
          <w:rFonts w:ascii="仿宋" w:hAnsi="仿宋" w:eastAsia="仿宋"/>
          <w:color w:val="000000" w:themeColor="text1"/>
          <w:sz w:val="24"/>
          <w:highlight w:val="none"/>
          <w14:textFill>
            <w14:solidFill>
              <w14:schemeClr w14:val="tx1"/>
            </w14:solidFill>
          </w14:textFill>
        </w:rPr>
        <w:t>供应商应按要求提交资格证明文件及符合</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文件规定的文件。</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11.2供应商应提交证明其有资格参加</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和</w:t>
      </w:r>
      <w:r>
        <w:rPr>
          <w:rFonts w:hint="eastAsia" w:ascii="仿宋" w:hAnsi="仿宋" w:eastAsia="仿宋"/>
          <w:color w:val="000000" w:themeColor="text1"/>
          <w:sz w:val="24"/>
          <w:highlight w:val="none"/>
          <w14:textFill>
            <w14:solidFill>
              <w14:schemeClr w14:val="tx1"/>
            </w14:solidFill>
          </w14:textFill>
        </w:rPr>
        <w:t>成交</w:t>
      </w:r>
      <w:r>
        <w:rPr>
          <w:rFonts w:ascii="仿宋" w:hAnsi="仿宋" w:eastAsia="仿宋"/>
          <w:color w:val="000000" w:themeColor="text1"/>
          <w:sz w:val="24"/>
          <w:highlight w:val="none"/>
          <w14:textFill>
            <w14:solidFill>
              <w14:schemeClr w14:val="tx1"/>
            </w14:solidFill>
          </w14:textFill>
        </w:rPr>
        <w:t>后有能力独立履行合同的文件。</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11.3供应商除必须具有履行合同所需提供的服务的能力外，还必须具备相应的财务、技术方面的能力。</w:t>
      </w:r>
    </w:p>
    <w:p>
      <w:pPr>
        <w:spacing w:line="360" w:lineRule="auto"/>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11.4供应商信用信息查询要求</w:t>
      </w:r>
    </w:p>
    <w:p>
      <w:pPr>
        <w:spacing w:line="360" w:lineRule="auto"/>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查询渠道为“信用中国”网站（www.creditchina.gov.cn）和“中国政府采购网”网站（www.ccgp.gov.cn）,查询截止时间为本项目响应文件接收截止时间。</w:t>
      </w:r>
    </w:p>
    <w:bookmarkEnd w:id="64"/>
    <w:bookmarkEnd w:id="65"/>
    <w:bookmarkEnd w:id="66"/>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68" w:name="_Toc49090508"/>
      <w:bookmarkStart w:id="69" w:name="_Toc14577355"/>
      <w:r>
        <w:rPr>
          <w:rFonts w:ascii="仿宋" w:hAnsi="仿宋" w:eastAsia="仿宋"/>
          <w:bCs w:val="0"/>
          <w:color w:val="000000" w:themeColor="text1"/>
          <w:highlight w:val="none"/>
          <w14:textFill>
            <w14:solidFill>
              <w14:schemeClr w14:val="tx1"/>
            </w14:solidFill>
          </w14:textFill>
        </w:rPr>
        <w:t>12、</w:t>
      </w:r>
      <w:bookmarkEnd w:id="68"/>
      <w:bookmarkEnd w:id="69"/>
      <w:r>
        <w:rPr>
          <w:rFonts w:ascii="仿宋" w:hAnsi="仿宋" w:eastAsia="仿宋"/>
          <w:bCs w:val="0"/>
          <w:color w:val="000000" w:themeColor="text1"/>
          <w:highlight w:val="none"/>
          <w14:textFill>
            <w14:solidFill>
              <w14:schemeClr w14:val="tx1"/>
            </w14:solidFill>
          </w14:textFill>
        </w:rPr>
        <w:t>投标配置与分项报价</w:t>
      </w:r>
      <w:bookmarkStart w:id="70" w:name="_Hlt26670373"/>
      <w:bookmarkEnd w:id="70"/>
      <w:r>
        <w:rPr>
          <w:rFonts w:ascii="仿宋" w:hAnsi="仿宋" w:eastAsia="仿宋"/>
          <w:bCs w:val="0"/>
          <w:color w:val="000000" w:themeColor="text1"/>
          <w:highlight w:val="none"/>
          <w14:textFill>
            <w14:solidFill>
              <w14:schemeClr w14:val="tx1"/>
            </w14:solidFill>
          </w14:textFill>
        </w:rPr>
        <w:t>表</w:t>
      </w:r>
    </w:p>
    <w:p>
      <w:pPr>
        <w:spacing w:line="360" w:lineRule="auto"/>
        <w:ind w:firstLine="480" w:firstLineChars="200"/>
        <w:rPr>
          <w:rFonts w:ascii="仿宋" w:hAnsi="仿宋" w:eastAsia="仿宋"/>
          <w:b/>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12.1</w:t>
      </w:r>
      <w:r>
        <w:rPr>
          <w:rFonts w:hint="eastAsia" w:ascii="仿宋" w:hAnsi="仿宋" w:eastAsia="仿宋"/>
          <w:color w:val="000000" w:themeColor="text1"/>
          <w:sz w:val="24"/>
          <w:highlight w:val="none"/>
          <w14:textFill>
            <w14:solidFill>
              <w14:schemeClr w14:val="tx1"/>
            </w14:solidFill>
          </w14:textFill>
        </w:rPr>
        <w:t>供应商应按照竞争性谈判文件规定格式填报竞争性谈判报价与分项报价表，在表中标明各分项报价内容。</w:t>
      </w:r>
      <w:r>
        <w:rPr>
          <w:rFonts w:hint="eastAsia" w:ascii="仿宋" w:hAnsi="仿宋" w:eastAsia="仿宋"/>
          <w:b/>
          <w:color w:val="000000" w:themeColor="text1"/>
          <w:sz w:val="24"/>
          <w:highlight w:val="none"/>
          <w:u w:val="single"/>
          <w14:textFill>
            <w14:solidFill>
              <w14:schemeClr w14:val="tx1"/>
            </w14:solidFill>
          </w14:textFill>
        </w:rPr>
        <w:t>每个分项只允许有一个报价，任何有选择的或附有条件的报价将视为无效响应。本次招标不接受备选方案。</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12.2有关</w:t>
      </w:r>
      <w:r>
        <w:rPr>
          <w:rFonts w:hint="eastAsia" w:ascii="仿宋" w:hAnsi="仿宋" w:eastAsia="仿宋"/>
          <w:color w:val="000000" w:themeColor="text1"/>
          <w:sz w:val="24"/>
          <w:highlight w:val="none"/>
          <w14:textFill>
            <w14:solidFill>
              <w14:schemeClr w14:val="tx1"/>
            </w14:solidFill>
          </w14:textFill>
        </w:rPr>
        <w:t>报价</w:t>
      </w:r>
      <w:r>
        <w:rPr>
          <w:rFonts w:ascii="仿宋" w:hAnsi="仿宋" w:eastAsia="仿宋"/>
          <w:color w:val="000000" w:themeColor="text1"/>
          <w:sz w:val="24"/>
          <w:highlight w:val="none"/>
          <w14:textFill>
            <w14:solidFill>
              <w14:schemeClr w14:val="tx1"/>
            </w14:solidFill>
          </w14:textFill>
        </w:rPr>
        <w:t>的内容</w:t>
      </w:r>
    </w:p>
    <w:p>
      <w:pPr>
        <w:spacing w:line="360" w:lineRule="auto"/>
        <w:ind w:firstLine="482" w:firstLineChars="200"/>
        <w:rPr>
          <w:rFonts w:hint="eastAsia" w:ascii="仿宋" w:hAnsi="仿宋" w:eastAsia="仿宋" w:cs="仿宋"/>
          <w:b/>
          <w:bCs/>
          <w:color w:val="000000" w:themeColor="text1"/>
          <w:sz w:val="24"/>
          <w:highlight w:val="none"/>
          <w:u w:val="single"/>
          <w14:textFill>
            <w14:solidFill>
              <w14:schemeClr w14:val="tx1"/>
            </w14:solidFill>
          </w14:textFill>
        </w:rPr>
      </w:pPr>
      <w:r>
        <w:rPr>
          <w:rFonts w:hint="eastAsia" w:ascii="仿宋" w:hAnsi="仿宋" w:eastAsia="仿宋" w:cs="仿宋"/>
          <w:b/>
          <w:bCs/>
          <w:color w:val="000000" w:themeColor="text1"/>
          <w:sz w:val="24"/>
          <w:highlight w:val="none"/>
          <w:u w:val="single"/>
          <w14:textFill>
            <w14:solidFill>
              <w14:schemeClr w14:val="tx1"/>
            </w14:solidFill>
          </w14:textFill>
        </w:rPr>
        <w:t>本项目报价表上的价格为含税报价，</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谈判</w:t>
      </w:r>
      <w:r>
        <w:rPr>
          <w:rFonts w:hint="eastAsia" w:ascii="仿宋" w:hAnsi="仿宋" w:eastAsia="仿宋" w:cs="仿宋"/>
          <w:b/>
          <w:bCs/>
          <w:color w:val="000000" w:themeColor="text1"/>
          <w:sz w:val="24"/>
          <w:highlight w:val="none"/>
          <w:u w:val="single"/>
          <w14:textFill>
            <w14:solidFill>
              <w14:schemeClr w14:val="tx1"/>
            </w14:solidFill>
          </w14:textFill>
        </w:rPr>
        <w:t>报价应包括封面设计、版式设计、制版、审稿、编辑、校对、纸张、印刷、装订、包装、运输、出版管理、税金、售后服务等全部内容的费用，及合同包含的所有风险、责任等各项应有费用，以及为完成该项服务项目所涉及到的一切相关费用，采购人不再支付其他任何费用。</w:t>
      </w:r>
    </w:p>
    <w:p>
      <w:pPr>
        <w:spacing w:line="360" w:lineRule="auto"/>
        <w:ind w:firstLine="482" w:firstLineChars="200"/>
        <w:rPr>
          <w:rFonts w:ascii="仿宋" w:hAnsi="仿宋" w:eastAsia="仿宋"/>
          <w:color w:val="000000" w:themeColor="text1"/>
          <w:sz w:val="24"/>
          <w:highlight w:val="none"/>
          <w:u w:val="single"/>
          <w14:textFill>
            <w14:solidFill>
              <w14:schemeClr w14:val="tx1"/>
            </w14:solidFill>
          </w14:textFill>
        </w:rPr>
      </w:pP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谈判</w:t>
      </w:r>
      <w:r>
        <w:rPr>
          <w:rFonts w:hint="eastAsia" w:ascii="仿宋" w:hAnsi="仿宋" w:eastAsia="仿宋" w:cs="仿宋"/>
          <w:b/>
          <w:bCs/>
          <w:color w:val="000000" w:themeColor="text1"/>
          <w:sz w:val="24"/>
          <w:highlight w:val="none"/>
          <w:u w:val="single"/>
          <w14:textFill>
            <w14:solidFill>
              <w14:schemeClr w14:val="tx1"/>
            </w14:solidFill>
          </w14:textFill>
        </w:rPr>
        <w:t>报价为最终报价，除非因特殊原因并经买卖双方协商同意，供应商不得再要求追加任何费用。同时，除非合同条款中另有规定，否则，供应商所报价格在合同响应、实施期间不因市场变化因素而变动。</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如果单价和总价不符，以单价为准。每项采购内容只允许有一个报价，任何有选择的或附有条件的报价将视为无效响应。</w:t>
      </w:r>
      <w:r>
        <w:rPr>
          <w:rFonts w:hint="eastAsia" w:ascii="仿宋" w:hAnsi="仿宋" w:eastAsia="仿宋"/>
          <w:b/>
          <w:color w:val="000000" w:themeColor="text1"/>
          <w:sz w:val="24"/>
          <w:highlight w:val="none"/>
          <w14:textFill>
            <w14:solidFill>
              <w14:schemeClr w14:val="tx1"/>
            </w14:solidFill>
          </w14:textFill>
        </w:rPr>
        <w:t>供应商未填单价或总价的项目，在成交后，采购单位将不予支付，并视为该项费用已包括在其它有价款的单价或总价内。</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12.</w:t>
      </w:r>
      <w:r>
        <w:rPr>
          <w:rFonts w:hint="eastAsia" w:ascii="仿宋" w:hAnsi="仿宋" w:eastAsia="仿宋"/>
          <w:color w:val="000000" w:themeColor="text1"/>
          <w:sz w:val="24"/>
          <w:highlight w:val="none"/>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货币</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响应文件中的单价和总价应采用人民币报价，以元为单位标注。报价应是唯一的，</w:t>
      </w:r>
      <w:r>
        <w:rPr>
          <w:rFonts w:hint="eastAsia" w:ascii="仿宋" w:hAnsi="仿宋" w:eastAsia="仿宋"/>
          <w:color w:val="000000" w:themeColor="text1"/>
          <w:sz w:val="24"/>
          <w:highlight w:val="none"/>
          <w14:textFill>
            <w14:solidFill>
              <w14:schemeClr w14:val="tx1"/>
            </w14:solidFill>
          </w14:textFill>
        </w:rPr>
        <w:t>采购人</w:t>
      </w:r>
      <w:r>
        <w:rPr>
          <w:rFonts w:ascii="仿宋" w:hAnsi="仿宋" w:eastAsia="仿宋"/>
          <w:color w:val="000000" w:themeColor="text1"/>
          <w:sz w:val="24"/>
          <w:highlight w:val="none"/>
          <w14:textFill>
            <w14:solidFill>
              <w14:schemeClr w14:val="tx1"/>
            </w14:solidFill>
          </w14:textFill>
        </w:rPr>
        <w:t>不接受有选择的报价和方案。当数量和单价之积不等于总价时，以单价为准重新计算总价。</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12.</w:t>
      </w:r>
      <w:r>
        <w:rPr>
          <w:rFonts w:hint="eastAsia" w:ascii="仿宋" w:hAnsi="仿宋" w:eastAsia="仿宋"/>
          <w:color w:val="000000" w:themeColor="text1"/>
          <w:sz w:val="24"/>
          <w:highlight w:val="none"/>
          <w14:textFill>
            <w14:solidFill>
              <w14:schemeClr w14:val="tx1"/>
            </w14:solidFill>
          </w14:textFill>
        </w:rPr>
        <w:t>4</w:t>
      </w:r>
      <w:r>
        <w:rPr>
          <w:rFonts w:ascii="仿宋" w:hAnsi="仿宋" w:eastAsia="仿宋"/>
          <w:color w:val="000000" w:themeColor="text1"/>
          <w:sz w:val="24"/>
          <w:highlight w:val="none"/>
          <w14:textFill>
            <w14:solidFill>
              <w14:schemeClr w14:val="tx1"/>
            </w14:solidFill>
          </w14:textFill>
        </w:rPr>
        <w:t xml:space="preserve"> 投标配置与报价表上的价格应按下列方式分开填写：</w:t>
      </w:r>
      <w:bookmarkStart w:id="71" w:name="_Hlt26954844"/>
      <w:bookmarkEnd w:id="71"/>
      <w:bookmarkStart w:id="72" w:name="_Hlt26668983"/>
      <w:bookmarkEnd w:id="72"/>
      <w:bookmarkStart w:id="73" w:name="_Hlt26670403"/>
      <w:bookmarkEnd w:id="73"/>
      <w:bookmarkStart w:id="74" w:name="_Hlt26670425"/>
      <w:bookmarkEnd w:id="74"/>
      <w:bookmarkStart w:id="75" w:name="_Hlt26954842"/>
      <w:bookmarkEnd w:id="75"/>
    </w:p>
    <w:p>
      <w:pPr>
        <w:spacing w:line="360" w:lineRule="auto"/>
        <w:ind w:firstLine="480" w:firstLineChars="200"/>
        <w:rPr>
          <w:rFonts w:ascii="仿宋" w:hAnsi="仿宋" w:eastAsia="仿宋" w:cs="宋体"/>
          <w:color w:val="000000" w:themeColor="text1"/>
          <w:sz w:val="24"/>
          <w:highlight w:val="none"/>
          <w:lang w:val="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w:t>
      </w:r>
      <w:r>
        <w:rPr>
          <w:rFonts w:hint="eastAsia" w:ascii="仿宋" w:hAnsi="仿宋" w:eastAsia="仿宋" w:cs="宋体"/>
          <w:color w:val="000000" w:themeColor="text1"/>
          <w:sz w:val="24"/>
          <w:highlight w:val="none"/>
          <w:lang w:val="zh-CN"/>
          <w14:textFill>
            <w14:solidFill>
              <w14:schemeClr w14:val="tx1"/>
            </w14:solidFill>
          </w14:textFill>
        </w:rPr>
        <w:t>项目单价：按投标配置及报价表中要求填报</w:t>
      </w:r>
      <w:bookmarkStart w:id="76" w:name="OLE_LINK4"/>
      <w:r>
        <w:rPr>
          <w:rFonts w:hint="eastAsia" w:ascii="仿宋" w:hAnsi="仿宋" w:eastAsia="仿宋" w:cs="宋体"/>
          <w:color w:val="000000" w:themeColor="text1"/>
          <w:sz w:val="24"/>
          <w:highlight w:val="none"/>
          <w:lang w:val="zh-CN"/>
          <w14:textFill>
            <w14:solidFill>
              <w14:schemeClr w14:val="tx1"/>
            </w14:solidFill>
          </w14:textFill>
        </w:rPr>
        <w:t>；</w:t>
      </w:r>
    </w:p>
    <w:p>
      <w:pPr>
        <w:spacing w:line="360" w:lineRule="auto"/>
        <w:ind w:firstLine="480" w:firstLineChars="200"/>
        <w:rPr>
          <w:rFonts w:ascii="仿宋" w:hAnsi="仿宋" w:eastAsia="仿宋" w:cs="宋体"/>
          <w:color w:val="000000" w:themeColor="text1"/>
          <w:sz w:val="24"/>
          <w:highlight w:val="none"/>
          <w:lang w:val="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bookmarkEnd w:id="76"/>
      <w:r>
        <w:rPr>
          <w:rFonts w:hint="eastAsia" w:ascii="仿宋" w:hAnsi="仿宋" w:eastAsia="仿宋" w:cs="宋体"/>
          <w:color w:val="000000" w:themeColor="text1"/>
          <w:sz w:val="24"/>
          <w:highlight w:val="none"/>
          <w:lang w:val="zh-CN"/>
          <w14:textFill>
            <w14:solidFill>
              <w14:schemeClr w14:val="tx1"/>
            </w14:solidFill>
          </w14:textFill>
        </w:rPr>
        <w:t>项目总价：按各项目单价与数量乘积的总和。</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ascii="仿宋" w:hAnsi="仿宋" w:eastAsia="仿宋"/>
          <w:bCs w:val="0"/>
          <w:color w:val="000000" w:themeColor="text1"/>
          <w:highlight w:val="none"/>
          <w14:textFill>
            <w14:solidFill>
              <w14:schemeClr w14:val="tx1"/>
            </w14:solidFill>
          </w14:textFill>
        </w:rPr>
        <w:t>13、偏离表</w:t>
      </w:r>
    </w:p>
    <w:p>
      <w:pPr>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13.1</w:t>
      </w:r>
      <w:r>
        <w:rPr>
          <w:rFonts w:hint="eastAsia" w:ascii="仿宋" w:hAnsi="仿宋" w:eastAsia="仿宋"/>
          <w:bCs/>
          <w:color w:val="000000" w:themeColor="text1"/>
          <w:sz w:val="24"/>
          <w:highlight w:val="none"/>
          <w14:textFill>
            <w14:solidFill>
              <w14:schemeClr w14:val="tx1"/>
            </w14:solidFill>
          </w14:textFill>
        </w:rPr>
        <w:t>供应商应对竞争性谈判文件中规定的商务及技术部分给予充分的考虑。详见第六章《偏离表》相关要求。</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13.2 </w:t>
      </w:r>
      <w:r>
        <w:rPr>
          <w:rFonts w:hint="eastAsia" w:ascii="仿宋" w:hAnsi="仿宋" w:eastAsia="仿宋"/>
          <w:color w:val="000000" w:themeColor="text1"/>
          <w:sz w:val="24"/>
          <w:highlight w:val="none"/>
          <w14:textFill>
            <w14:solidFill>
              <w14:schemeClr w14:val="tx1"/>
            </w14:solidFill>
          </w14:textFill>
        </w:rPr>
        <w:t>带★号的内容要求必须进行实质性响应，不响应和负偏离都将视为无效响应</w:t>
      </w:r>
      <w:r>
        <w:rPr>
          <w:rFonts w:ascii="仿宋" w:hAnsi="仿宋" w:eastAsia="仿宋"/>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13.</w:t>
      </w:r>
      <w:r>
        <w:rPr>
          <w:rFonts w:hint="eastAsia" w:ascii="仿宋" w:hAnsi="仿宋" w:eastAsia="仿宋"/>
          <w:color w:val="000000" w:themeColor="text1"/>
          <w:sz w:val="24"/>
          <w:highlight w:val="none"/>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供应商认为需要的其他技术文件或说明。</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ascii="仿宋" w:hAnsi="仿宋" w:eastAsia="仿宋"/>
          <w:bCs w:val="0"/>
          <w:color w:val="000000" w:themeColor="text1"/>
          <w:highlight w:val="none"/>
          <w14:textFill>
            <w14:solidFill>
              <w14:schemeClr w14:val="tx1"/>
            </w14:solidFill>
          </w14:textFill>
        </w:rPr>
        <w:t>14、服务承诺及服务机构、人员的情况介绍</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14</w:t>
      </w:r>
      <w:r>
        <w:rPr>
          <w:rFonts w:hint="eastAsia" w:ascii="仿宋" w:hAnsi="仿宋" w:eastAsia="仿宋"/>
          <w:color w:val="000000" w:themeColor="text1"/>
          <w:sz w:val="24"/>
          <w:highlight w:val="none"/>
          <w:lang w:val="zh-CN"/>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供应商的服务承诺应按不低于竞争性谈判文件中商务要求的标准。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14</w:t>
      </w:r>
      <w:r>
        <w:rPr>
          <w:rFonts w:hint="eastAsia" w:ascii="仿宋" w:hAnsi="仿宋" w:eastAsia="仿宋"/>
          <w:color w:val="000000" w:themeColor="text1"/>
          <w:sz w:val="24"/>
          <w:highlight w:val="none"/>
          <w:lang w:val="zh-CN"/>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供应商的服务机构、服务的制度、服务人员。</w:t>
      </w:r>
    </w:p>
    <w:p>
      <w:pPr>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14.3提供参加本项目实施的组成人员资历表，包括每个组成人员的技术职业资格和项目中承担的角色。</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77" w:name="_Toc49090510"/>
      <w:bookmarkStart w:id="78" w:name="_Toc14577359"/>
      <w:r>
        <w:rPr>
          <w:rFonts w:ascii="仿宋" w:hAnsi="仿宋" w:eastAsia="仿宋"/>
          <w:bCs w:val="0"/>
          <w:color w:val="000000" w:themeColor="text1"/>
          <w:highlight w:val="none"/>
          <w14:textFill>
            <w14:solidFill>
              <w14:schemeClr w14:val="tx1"/>
            </w14:solidFill>
          </w14:textFill>
        </w:rPr>
        <w:t>15、响应函和</w:t>
      </w:r>
      <w:r>
        <w:rPr>
          <w:rFonts w:hint="eastAsia" w:ascii="仿宋" w:hAnsi="仿宋" w:eastAsia="仿宋"/>
          <w:bCs w:val="0"/>
          <w:color w:val="000000" w:themeColor="text1"/>
          <w:highlight w:val="none"/>
          <w14:textFill>
            <w14:solidFill>
              <w14:schemeClr w14:val="tx1"/>
            </w14:solidFill>
          </w14:textFill>
        </w:rPr>
        <w:t>报价一览表</w:t>
      </w:r>
    </w:p>
    <w:p>
      <w:pPr>
        <w:spacing w:line="360" w:lineRule="auto"/>
        <w:ind w:firstLine="480" w:firstLineChars="200"/>
        <w:rPr>
          <w:rFonts w:ascii="仿宋" w:hAnsi="仿宋" w:eastAsia="仿宋"/>
          <w:b/>
          <w:color w:val="000000" w:themeColor="text1"/>
          <w:sz w:val="24"/>
          <w:highlight w:val="none"/>
          <w14:textFill>
            <w14:solidFill>
              <w14:schemeClr w14:val="tx1"/>
            </w14:solidFill>
          </w14:textFill>
        </w:rPr>
      </w:pPr>
      <w:r>
        <w:rPr>
          <w:rFonts w:ascii="仿宋" w:hAnsi="仿宋" w:eastAsia="仿宋"/>
          <w:bCs/>
          <w:color w:val="000000" w:themeColor="text1"/>
          <w:sz w:val="24"/>
          <w:highlight w:val="none"/>
          <w14:textFill>
            <w14:solidFill>
              <w14:schemeClr w14:val="tx1"/>
            </w14:solidFill>
          </w14:textFill>
        </w:rPr>
        <w:t>15.1</w:t>
      </w:r>
      <w:r>
        <w:rPr>
          <w:rFonts w:ascii="仿宋" w:hAnsi="仿宋" w:eastAsia="仿宋"/>
          <w:color w:val="000000" w:themeColor="text1"/>
          <w:sz w:val="24"/>
          <w:highlight w:val="none"/>
          <w14:textFill>
            <w14:solidFill>
              <w14:schemeClr w14:val="tx1"/>
            </w14:solidFill>
          </w14:textFill>
        </w:rPr>
        <w:t>供应商应按照竞争性</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文件中提供的格式完整、正确填写响应函、</w:t>
      </w:r>
      <w:r>
        <w:rPr>
          <w:rFonts w:hint="eastAsia" w:ascii="仿宋" w:hAnsi="仿宋" w:eastAsia="仿宋"/>
          <w:color w:val="000000" w:themeColor="text1"/>
          <w:sz w:val="24"/>
          <w:highlight w:val="none"/>
          <w14:textFill>
            <w14:solidFill>
              <w14:schemeClr w14:val="tx1"/>
            </w14:solidFill>
          </w14:textFill>
        </w:rPr>
        <w:t>报价一览表</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b/>
          <w:color w:val="000000" w:themeColor="text1"/>
          <w:sz w:val="24"/>
          <w:highlight w:val="none"/>
          <w:u w:val="single"/>
          <w14:textFill>
            <w14:solidFill>
              <w14:schemeClr w14:val="tx1"/>
            </w14:solidFill>
          </w14:textFill>
        </w:rPr>
        <w:t>报价一览表</w:t>
      </w:r>
      <w:r>
        <w:rPr>
          <w:rFonts w:ascii="仿宋" w:hAnsi="仿宋" w:eastAsia="仿宋"/>
          <w:b/>
          <w:color w:val="000000" w:themeColor="text1"/>
          <w:sz w:val="24"/>
          <w:highlight w:val="none"/>
          <w:u w:val="single"/>
          <w14:textFill>
            <w14:solidFill>
              <w14:schemeClr w14:val="tx1"/>
            </w14:solidFill>
          </w14:textFill>
        </w:rPr>
        <w:t>必须按照本文件格式要求填写并按照格式要求在</w:t>
      </w:r>
      <w:r>
        <w:rPr>
          <w:rFonts w:hint="eastAsia" w:ascii="仿宋" w:hAnsi="仿宋" w:eastAsia="仿宋"/>
          <w:b/>
          <w:color w:val="000000" w:themeColor="text1"/>
          <w:sz w:val="24"/>
          <w:highlight w:val="none"/>
          <w:u w:val="single"/>
          <w14:textFill>
            <w14:solidFill>
              <w14:schemeClr w14:val="tx1"/>
            </w14:solidFill>
          </w14:textFill>
        </w:rPr>
        <w:t>规</w:t>
      </w:r>
      <w:r>
        <w:rPr>
          <w:rFonts w:ascii="仿宋" w:hAnsi="仿宋" w:eastAsia="仿宋"/>
          <w:b/>
          <w:color w:val="000000" w:themeColor="text1"/>
          <w:sz w:val="24"/>
          <w:highlight w:val="none"/>
          <w:u w:val="single"/>
          <w14:textFill>
            <w14:solidFill>
              <w14:schemeClr w14:val="tx1"/>
            </w14:solidFill>
          </w14:textFill>
        </w:rPr>
        <w:t>定位置盖章</w:t>
      </w:r>
      <w:r>
        <w:rPr>
          <w:rFonts w:hint="eastAsia" w:ascii="仿宋" w:hAnsi="仿宋" w:eastAsia="仿宋"/>
          <w:b/>
          <w:color w:val="000000" w:themeColor="text1"/>
          <w:sz w:val="24"/>
          <w:highlight w:val="none"/>
          <w:u w:val="single"/>
          <w14:textFill>
            <w14:solidFill>
              <w14:schemeClr w14:val="tx1"/>
            </w14:solidFill>
          </w14:textFill>
        </w:rPr>
        <w:t>及</w:t>
      </w:r>
      <w:r>
        <w:rPr>
          <w:rFonts w:ascii="仿宋" w:hAnsi="仿宋" w:eastAsia="仿宋"/>
          <w:b/>
          <w:color w:val="000000" w:themeColor="text1"/>
          <w:sz w:val="24"/>
          <w:highlight w:val="none"/>
          <w:u w:val="single"/>
          <w14:textFill>
            <w14:solidFill>
              <w14:schemeClr w14:val="tx1"/>
            </w14:solidFill>
          </w14:textFill>
        </w:rPr>
        <w:t>签字。</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bCs/>
          <w:color w:val="000000" w:themeColor="text1"/>
          <w:sz w:val="24"/>
          <w:highlight w:val="none"/>
          <w14:textFill>
            <w14:solidFill>
              <w14:schemeClr w14:val="tx1"/>
            </w14:solidFill>
          </w14:textFill>
        </w:rPr>
        <w:t>15.2</w:t>
      </w:r>
      <w:r>
        <w:rPr>
          <w:rFonts w:ascii="仿宋" w:hAnsi="仿宋" w:eastAsia="仿宋"/>
          <w:color w:val="000000" w:themeColor="text1"/>
          <w:sz w:val="24"/>
          <w:highlight w:val="non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报价一览表</w:t>
      </w:r>
      <w:r>
        <w:rPr>
          <w:rFonts w:ascii="仿宋" w:hAnsi="仿宋" w:eastAsia="仿宋"/>
          <w:bCs/>
          <w:color w:val="000000" w:themeColor="text1"/>
          <w:sz w:val="24"/>
          <w:highlight w:val="none"/>
          <w14:textFill>
            <w14:solidFill>
              <w14:schemeClr w14:val="tx1"/>
            </w14:solidFill>
          </w14:textFill>
        </w:rPr>
        <w:t>中的价格应与响应文件中投标配置与分项报价表中的价格一致。如出现不一致的情况，评标时一律按</w:t>
      </w:r>
      <w:r>
        <w:rPr>
          <w:rFonts w:hint="eastAsia" w:ascii="仿宋" w:hAnsi="仿宋" w:eastAsia="仿宋"/>
          <w:bCs/>
          <w:color w:val="000000" w:themeColor="text1"/>
          <w:sz w:val="24"/>
          <w:highlight w:val="none"/>
          <w14:textFill>
            <w14:solidFill>
              <w14:schemeClr w14:val="tx1"/>
            </w14:solidFill>
          </w14:textFill>
        </w:rPr>
        <w:t>报价一览表</w:t>
      </w:r>
      <w:r>
        <w:rPr>
          <w:rFonts w:ascii="仿宋" w:hAnsi="仿宋" w:eastAsia="仿宋"/>
          <w:bCs/>
          <w:color w:val="000000" w:themeColor="text1"/>
          <w:sz w:val="24"/>
          <w:highlight w:val="none"/>
          <w14:textFill>
            <w14:solidFill>
              <w14:schemeClr w14:val="tx1"/>
            </w14:solidFill>
          </w14:textFill>
        </w:rPr>
        <w:t>中价格为准</w:t>
      </w:r>
      <w:r>
        <w:rPr>
          <w:rFonts w:ascii="仿宋" w:hAnsi="仿宋" w:eastAsia="仿宋"/>
          <w:b/>
          <w:bCs/>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olor w:val="000000" w:themeColor="text1"/>
          <w:sz w:val="24"/>
          <w:highlight w:val="none"/>
          <w:u w:val="single"/>
          <w14:textFill>
            <w14:solidFill>
              <w14:schemeClr w14:val="tx1"/>
            </w14:solidFill>
          </w14:textFill>
        </w:rPr>
      </w:pPr>
      <w:r>
        <w:rPr>
          <w:rFonts w:ascii="仿宋" w:hAnsi="仿宋" w:eastAsia="仿宋"/>
          <w:bCs/>
          <w:color w:val="000000" w:themeColor="text1"/>
          <w:sz w:val="24"/>
          <w:highlight w:val="none"/>
          <w14:textFill>
            <w14:solidFill>
              <w14:schemeClr w14:val="tx1"/>
            </w14:solidFill>
          </w14:textFill>
        </w:rPr>
        <w:t>15.3</w:t>
      </w:r>
      <w:r>
        <w:rPr>
          <w:rFonts w:hint="eastAsia" w:ascii="仿宋" w:hAnsi="仿宋" w:eastAsia="仿宋"/>
          <w:color w:val="000000" w:themeColor="text1"/>
          <w:sz w:val="24"/>
          <w:highlight w:val="none"/>
          <w14:textFill>
            <w14:solidFill>
              <w14:schemeClr w14:val="tx1"/>
            </w14:solidFill>
          </w14:textFill>
        </w:rPr>
        <w:t>报价一览表</w:t>
      </w:r>
      <w:r>
        <w:rPr>
          <w:rFonts w:ascii="仿宋" w:hAnsi="仿宋" w:eastAsia="仿宋"/>
          <w:color w:val="000000" w:themeColor="text1"/>
          <w:sz w:val="24"/>
          <w:highlight w:val="none"/>
          <w14:textFill>
            <w14:solidFill>
              <w14:schemeClr w14:val="tx1"/>
            </w14:solidFill>
          </w14:textFill>
        </w:rPr>
        <w:t>分项报价加和汇总与总价不一致以分项报价为准进行修正。</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ascii="仿宋" w:hAnsi="仿宋" w:eastAsia="仿宋"/>
          <w:bCs w:val="0"/>
          <w:color w:val="000000" w:themeColor="text1"/>
          <w:highlight w:val="none"/>
          <w14:textFill>
            <w14:solidFill>
              <w14:schemeClr w14:val="tx1"/>
            </w14:solidFill>
          </w14:textFill>
        </w:rPr>
        <w:t>16、</w:t>
      </w:r>
      <w:bookmarkEnd w:id="77"/>
      <w:bookmarkEnd w:id="78"/>
      <w:r>
        <w:rPr>
          <w:rFonts w:hint="eastAsia" w:ascii="仿宋" w:hAnsi="仿宋" w:eastAsia="仿宋"/>
          <w:bCs w:val="0"/>
          <w:color w:val="000000" w:themeColor="text1"/>
          <w:highlight w:val="none"/>
          <w14:textFill>
            <w14:solidFill>
              <w14:schemeClr w14:val="tx1"/>
            </w14:solidFill>
          </w14:textFill>
        </w:rPr>
        <w:t>谈判保证金</w:t>
      </w:r>
    </w:p>
    <w:p>
      <w:pPr>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16.1</w:t>
      </w:r>
      <w:r>
        <w:rPr>
          <w:rFonts w:ascii="仿宋" w:hAnsi="仿宋" w:eastAsia="仿宋"/>
          <w:bCs/>
          <w:color w:val="000000" w:themeColor="text1"/>
          <w:sz w:val="24"/>
          <w:highlight w:val="none"/>
          <w14:textFill>
            <w14:solidFill>
              <w14:schemeClr w14:val="tx1"/>
            </w14:solidFill>
          </w14:textFill>
        </w:rPr>
        <w:t xml:space="preserve"> 供应商提交的</w:t>
      </w:r>
      <w:r>
        <w:rPr>
          <w:rFonts w:hint="eastAsia" w:ascii="仿宋" w:hAnsi="仿宋" w:eastAsia="仿宋"/>
          <w:bCs/>
          <w:color w:val="000000" w:themeColor="text1"/>
          <w:sz w:val="24"/>
          <w:highlight w:val="none"/>
          <w14:textFill>
            <w14:solidFill>
              <w14:schemeClr w14:val="tx1"/>
            </w14:solidFill>
          </w14:textFill>
        </w:rPr>
        <w:t>谈判保证金应</w:t>
      </w:r>
      <w:r>
        <w:rPr>
          <w:rFonts w:hint="eastAsia" w:ascii="仿宋" w:hAnsi="仿宋" w:eastAsia="仿宋"/>
          <w:b/>
          <w:bCs/>
          <w:color w:val="000000" w:themeColor="text1"/>
          <w:sz w:val="24"/>
          <w:highlight w:val="none"/>
          <w:u w:val="single"/>
          <w14:textFill>
            <w14:solidFill>
              <w14:schemeClr w14:val="tx1"/>
            </w14:solidFill>
          </w14:textFill>
        </w:rPr>
        <w:t>从供应商银行账户电汇或转账形式一次性递交至采购代理机构指定账户</w:t>
      </w:r>
      <w:r>
        <w:rPr>
          <w:rFonts w:ascii="仿宋" w:hAnsi="仿宋" w:eastAsia="仿宋"/>
          <w:b/>
          <w:bCs/>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16.2</w:t>
      </w:r>
      <w:r>
        <w:rPr>
          <w:rFonts w:ascii="仿宋" w:hAnsi="仿宋" w:eastAsia="仿宋"/>
          <w:b/>
          <w:bCs/>
          <w:color w:val="000000" w:themeColor="text1"/>
          <w:sz w:val="24"/>
          <w:highlight w:val="none"/>
          <w:u w:val="single"/>
          <w14:textFill>
            <w14:solidFill>
              <w14:schemeClr w14:val="tx1"/>
            </w14:solidFill>
          </w14:textFill>
        </w:rPr>
        <w:t>对于未按</w:t>
      </w:r>
      <w:r>
        <w:rPr>
          <w:rFonts w:hint="eastAsia" w:ascii="仿宋" w:hAnsi="仿宋" w:eastAsia="仿宋"/>
          <w:b/>
          <w:bCs/>
          <w:color w:val="000000" w:themeColor="text1"/>
          <w:sz w:val="24"/>
          <w:highlight w:val="none"/>
          <w:u w:val="single"/>
          <w14:textFill>
            <w14:solidFill>
              <w14:schemeClr w14:val="tx1"/>
            </w14:solidFill>
          </w14:textFill>
        </w:rPr>
        <w:t>公告</w:t>
      </w:r>
      <w:r>
        <w:rPr>
          <w:rFonts w:ascii="仿宋" w:hAnsi="仿宋" w:eastAsia="仿宋"/>
          <w:b/>
          <w:bCs/>
          <w:color w:val="000000" w:themeColor="text1"/>
          <w:sz w:val="24"/>
          <w:highlight w:val="none"/>
          <w:u w:val="single"/>
          <w14:textFill>
            <w14:solidFill>
              <w14:schemeClr w14:val="tx1"/>
            </w14:solidFill>
          </w14:textFill>
        </w:rPr>
        <w:t>要求提交</w:t>
      </w:r>
      <w:r>
        <w:rPr>
          <w:rFonts w:hint="eastAsia" w:ascii="仿宋" w:hAnsi="仿宋" w:eastAsia="仿宋"/>
          <w:b/>
          <w:bCs/>
          <w:color w:val="000000" w:themeColor="text1"/>
          <w:sz w:val="24"/>
          <w:highlight w:val="none"/>
          <w:u w:val="single"/>
          <w14:textFill>
            <w14:solidFill>
              <w14:schemeClr w14:val="tx1"/>
            </w14:solidFill>
          </w14:textFill>
        </w:rPr>
        <w:t>谈判保证金</w:t>
      </w:r>
      <w:r>
        <w:rPr>
          <w:rFonts w:ascii="仿宋" w:hAnsi="仿宋" w:eastAsia="仿宋"/>
          <w:b/>
          <w:bCs/>
          <w:color w:val="000000" w:themeColor="text1"/>
          <w:sz w:val="24"/>
          <w:highlight w:val="none"/>
          <w:u w:val="single"/>
          <w14:textFill>
            <w14:solidFill>
              <w14:schemeClr w14:val="tx1"/>
            </w14:solidFill>
          </w14:textFill>
        </w:rPr>
        <w:t>的，将被视为</w:t>
      </w:r>
      <w:r>
        <w:rPr>
          <w:rFonts w:hint="eastAsia" w:ascii="仿宋" w:hAnsi="仿宋" w:eastAsia="仿宋"/>
          <w:b/>
          <w:bCs/>
          <w:color w:val="000000" w:themeColor="text1"/>
          <w:sz w:val="24"/>
          <w:highlight w:val="none"/>
          <w:u w:val="single"/>
          <w14:textFill>
            <w14:solidFill>
              <w14:schemeClr w14:val="tx1"/>
            </w14:solidFill>
          </w14:textFill>
        </w:rPr>
        <w:t>无效响应</w:t>
      </w:r>
      <w:r>
        <w:rPr>
          <w:rFonts w:ascii="仿宋" w:hAnsi="仿宋" w:eastAsia="仿宋"/>
          <w:b/>
          <w:bCs/>
          <w:color w:val="000000" w:themeColor="text1"/>
          <w:sz w:val="24"/>
          <w:highlight w:val="none"/>
          <w:u w:val="single"/>
          <w14:textFill>
            <w14:solidFill>
              <w14:schemeClr w14:val="tx1"/>
            </w14:solidFill>
          </w14:textFill>
        </w:rPr>
        <w:t>而予以拒绝。</w:t>
      </w:r>
    </w:p>
    <w:p>
      <w:pPr>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16.3</w:t>
      </w:r>
      <w:r>
        <w:rPr>
          <w:rFonts w:ascii="仿宋" w:hAnsi="仿宋" w:eastAsia="仿宋"/>
          <w:bCs/>
          <w:color w:val="000000" w:themeColor="text1"/>
          <w:sz w:val="24"/>
          <w:highlight w:val="none"/>
          <w14:textFill>
            <w14:solidFill>
              <w14:schemeClr w14:val="tx1"/>
            </w14:solidFill>
          </w14:textFill>
        </w:rPr>
        <w:t>未中标的供应商的</w:t>
      </w:r>
      <w:r>
        <w:rPr>
          <w:rFonts w:hint="eastAsia" w:ascii="仿宋" w:hAnsi="仿宋" w:eastAsia="仿宋"/>
          <w:bCs/>
          <w:color w:val="000000" w:themeColor="text1"/>
          <w:sz w:val="24"/>
          <w:highlight w:val="none"/>
          <w14:textFill>
            <w14:solidFill>
              <w14:schemeClr w14:val="tx1"/>
            </w14:solidFill>
          </w14:textFill>
        </w:rPr>
        <w:t>谈判保证金</w:t>
      </w:r>
      <w:r>
        <w:rPr>
          <w:rFonts w:ascii="仿宋" w:hAnsi="仿宋" w:eastAsia="仿宋"/>
          <w:bCs/>
          <w:color w:val="000000" w:themeColor="text1"/>
          <w:sz w:val="24"/>
          <w:highlight w:val="none"/>
          <w14:textFill>
            <w14:solidFill>
              <w14:schemeClr w14:val="tx1"/>
            </w14:solidFill>
          </w14:textFill>
        </w:rPr>
        <w:t>，将在成交通知书发出</w:t>
      </w:r>
      <w:r>
        <w:rPr>
          <w:rFonts w:hint="eastAsia" w:ascii="仿宋" w:hAnsi="仿宋" w:eastAsia="仿宋" w:cs="仿宋"/>
          <w:color w:val="000000" w:themeColor="text1"/>
          <w:sz w:val="24"/>
          <w:highlight w:val="none"/>
          <w14:textFill>
            <w14:solidFill>
              <w14:schemeClr w14:val="tx1"/>
            </w14:solidFill>
          </w14:textFill>
        </w:rPr>
        <w:t>之日起5个工作日</w:t>
      </w:r>
      <w:r>
        <w:rPr>
          <w:rFonts w:ascii="仿宋" w:hAnsi="仿宋" w:eastAsia="仿宋"/>
          <w:bCs/>
          <w:color w:val="000000" w:themeColor="text1"/>
          <w:sz w:val="24"/>
          <w:highlight w:val="none"/>
          <w14:textFill>
            <w14:solidFill>
              <w14:schemeClr w14:val="tx1"/>
            </w14:solidFill>
          </w14:textFill>
        </w:rPr>
        <w:t>内予以退还，不计利息。</w:t>
      </w:r>
    </w:p>
    <w:p>
      <w:pPr>
        <w:spacing w:line="360" w:lineRule="auto"/>
        <w:ind w:firstLine="480" w:firstLineChars="200"/>
        <w:rPr>
          <w:rFonts w:ascii="仿宋" w:hAnsi="仿宋" w:eastAsia="仿宋"/>
          <w:bCs/>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16.4</w:t>
      </w:r>
      <w:r>
        <w:rPr>
          <w:rFonts w:ascii="仿宋" w:hAnsi="仿宋" w:eastAsia="仿宋"/>
          <w:bCs/>
          <w:color w:val="000000" w:themeColor="text1"/>
          <w:sz w:val="24"/>
          <w:highlight w:val="none"/>
          <w14:textFill>
            <w14:solidFill>
              <w14:schemeClr w14:val="tx1"/>
            </w14:solidFill>
          </w14:textFill>
        </w:rPr>
        <w:t xml:space="preserve"> 成交供应商的</w:t>
      </w:r>
      <w:r>
        <w:rPr>
          <w:rFonts w:hint="eastAsia" w:ascii="仿宋" w:hAnsi="仿宋" w:eastAsia="仿宋"/>
          <w:bCs/>
          <w:color w:val="000000" w:themeColor="text1"/>
          <w:sz w:val="24"/>
          <w:highlight w:val="none"/>
          <w14:textFill>
            <w14:solidFill>
              <w14:schemeClr w14:val="tx1"/>
            </w14:solidFill>
          </w14:textFill>
        </w:rPr>
        <w:t>谈判保证金</w:t>
      </w:r>
      <w:r>
        <w:rPr>
          <w:rFonts w:ascii="仿宋" w:hAnsi="仿宋" w:eastAsia="仿宋"/>
          <w:bCs/>
          <w:color w:val="000000" w:themeColor="text1"/>
          <w:sz w:val="24"/>
          <w:highlight w:val="none"/>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自动转为招标代理服务费，结算时多退少补</w:t>
      </w:r>
      <w:r>
        <w:rPr>
          <w:rFonts w:ascii="仿宋" w:hAnsi="仿宋" w:eastAsia="仿宋"/>
          <w:bCs/>
          <w:color w:val="000000" w:themeColor="text1"/>
          <w:sz w:val="24"/>
          <w:highlight w:val="none"/>
          <w14:textFill>
            <w14:solidFill>
              <w14:schemeClr w14:val="tx1"/>
            </w14:solidFill>
          </w14:textFill>
        </w:rPr>
        <w:t>。</w:t>
      </w:r>
    </w:p>
    <w:p>
      <w:pPr>
        <w:spacing w:line="36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ascii="仿宋" w:hAnsi="仿宋" w:eastAsia="仿宋"/>
          <w:b/>
          <w:color w:val="000000" w:themeColor="text1"/>
          <w:sz w:val="24"/>
          <w:highlight w:val="none"/>
          <w14:textFill>
            <w14:solidFill>
              <w14:schemeClr w14:val="tx1"/>
            </w14:solidFill>
          </w14:textFill>
        </w:rPr>
        <w:t xml:space="preserve">16.5 </w:t>
      </w:r>
      <w:r>
        <w:rPr>
          <w:rFonts w:ascii="仿宋" w:hAnsi="仿宋" w:eastAsia="仿宋"/>
          <w:b/>
          <w:bCs/>
          <w:color w:val="000000" w:themeColor="text1"/>
          <w:sz w:val="24"/>
          <w:highlight w:val="none"/>
          <w14:textFill>
            <w14:solidFill>
              <w14:schemeClr w14:val="tx1"/>
            </w14:solidFill>
          </w14:textFill>
        </w:rPr>
        <w:t>下列任何</w:t>
      </w:r>
      <w:r>
        <w:rPr>
          <w:rFonts w:hint="eastAsia" w:ascii="仿宋" w:hAnsi="仿宋" w:eastAsia="仿宋"/>
          <w:b/>
          <w:bCs/>
          <w:color w:val="000000" w:themeColor="text1"/>
          <w:sz w:val="24"/>
          <w:highlight w:val="none"/>
          <w14:textFill>
            <w14:solidFill>
              <w14:schemeClr w14:val="tx1"/>
            </w14:solidFill>
          </w14:textFill>
        </w:rPr>
        <w:t>一</w:t>
      </w:r>
      <w:r>
        <w:rPr>
          <w:rFonts w:ascii="仿宋" w:hAnsi="仿宋" w:eastAsia="仿宋"/>
          <w:b/>
          <w:bCs/>
          <w:color w:val="000000" w:themeColor="text1"/>
          <w:sz w:val="24"/>
          <w:highlight w:val="none"/>
          <w14:textFill>
            <w14:solidFill>
              <w14:schemeClr w14:val="tx1"/>
            </w14:solidFill>
          </w14:textFill>
        </w:rPr>
        <w:t>种情况发生时，</w:t>
      </w:r>
      <w:r>
        <w:rPr>
          <w:rFonts w:hint="eastAsia" w:ascii="仿宋" w:hAnsi="仿宋" w:eastAsia="仿宋"/>
          <w:b/>
          <w:bCs/>
          <w:color w:val="000000" w:themeColor="text1"/>
          <w:sz w:val="24"/>
          <w:highlight w:val="none"/>
          <w14:textFill>
            <w14:solidFill>
              <w14:schemeClr w14:val="tx1"/>
            </w14:solidFill>
          </w14:textFill>
        </w:rPr>
        <w:t>谈判保证金</w:t>
      </w:r>
      <w:r>
        <w:rPr>
          <w:rFonts w:ascii="仿宋" w:hAnsi="仿宋" w:eastAsia="仿宋"/>
          <w:b/>
          <w:bCs/>
          <w:color w:val="000000" w:themeColor="text1"/>
          <w:sz w:val="24"/>
          <w:highlight w:val="none"/>
          <w14:textFill>
            <w14:solidFill>
              <w14:schemeClr w14:val="tx1"/>
            </w14:solidFill>
          </w14:textFill>
        </w:rPr>
        <w:t>将</w:t>
      </w:r>
      <w:r>
        <w:rPr>
          <w:rFonts w:hint="eastAsia" w:ascii="仿宋" w:hAnsi="仿宋" w:eastAsia="仿宋"/>
          <w:b/>
          <w:bCs/>
          <w:color w:val="000000" w:themeColor="text1"/>
          <w:sz w:val="24"/>
          <w:highlight w:val="none"/>
          <w14:textFill>
            <w14:solidFill>
              <w14:schemeClr w14:val="tx1"/>
            </w14:solidFill>
          </w14:textFill>
        </w:rPr>
        <w:t>不予退还，已经中标的，取消其中标资格，并列入本采购代理机构不良行为记录名单予以公布，</w:t>
      </w:r>
      <w:r>
        <w:rPr>
          <w:rFonts w:hint="eastAsia" w:ascii="仿宋" w:hAnsi="仿宋" w:eastAsia="仿宋" w:cs="仿宋"/>
          <w:b/>
          <w:bCs/>
          <w:color w:val="000000" w:themeColor="text1"/>
          <w:sz w:val="24"/>
          <w:highlight w:val="none"/>
          <w14:textFill>
            <w14:solidFill>
              <w14:schemeClr w14:val="tx1"/>
            </w14:solidFill>
          </w14:textFill>
        </w:rPr>
        <w:t>在一至两</w:t>
      </w:r>
      <w:r>
        <w:rPr>
          <w:rFonts w:hint="eastAsia" w:ascii="仿宋" w:hAnsi="仿宋" w:eastAsia="仿宋"/>
          <w:b/>
          <w:bCs/>
          <w:color w:val="000000" w:themeColor="text1"/>
          <w:sz w:val="24"/>
          <w:highlight w:val="none"/>
          <w14:textFill>
            <w14:solidFill>
              <w14:schemeClr w14:val="tx1"/>
            </w14:solidFill>
          </w14:textFill>
        </w:rPr>
        <w:t>年内不得参与本采购代理机构组织的项目。已经签约的，所签订的合同无效，同时采购人及</w:t>
      </w:r>
      <w:r>
        <w:rPr>
          <w:rFonts w:ascii="仿宋" w:hAnsi="仿宋" w:eastAsia="仿宋"/>
          <w:b/>
          <w:bCs/>
          <w:color w:val="000000" w:themeColor="text1"/>
          <w:sz w:val="24"/>
          <w:highlight w:val="none"/>
          <w14:textFill>
            <w14:solidFill>
              <w14:schemeClr w14:val="tx1"/>
            </w14:solidFill>
          </w14:textFill>
        </w:rPr>
        <w:t>采购代理机构</w:t>
      </w:r>
      <w:r>
        <w:rPr>
          <w:rFonts w:hint="eastAsia" w:ascii="仿宋" w:hAnsi="仿宋" w:eastAsia="仿宋"/>
          <w:b/>
          <w:bCs/>
          <w:color w:val="000000" w:themeColor="text1"/>
          <w:sz w:val="24"/>
          <w:highlight w:val="none"/>
          <w14:textFill>
            <w14:solidFill>
              <w14:schemeClr w14:val="tx1"/>
            </w14:solidFill>
          </w14:textFill>
        </w:rPr>
        <w:t>不承担任何责任</w:t>
      </w:r>
      <w:r>
        <w:rPr>
          <w:rFonts w:ascii="仿宋" w:hAnsi="仿宋" w:eastAsia="仿宋"/>
          <w:b/>
          <w:bCs/>
          <w:color w:val="000000" w:themeColor="text1"/>
          <w:sz w:val="24"/>
          <w:highlight w:val="none"/>
          <w14:textFill>
            <w14:solidFill>
              <w14:schemeClr w14:val="tx1"/>
            </w14:solidFill>
          </w14:textFill>
        </w:rPr>
        <w:t>：</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（一）供应商提供虚假材料谋取中标（成交）的；</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（二）供应商采取不正当手段诋毁、排挤或串通他人的；</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（三）</w:t>
      </w:r>
      <w:r>
        <w:rPr>
          <w:rFonts w:ascii="仿宋" w:hAnsi="仿宋" w:eastAsia="仿宋"/>
          <w:color w:val="000000" w:themeColor="text1"/>
          <w:sz w:val="24"/>
          <w:highlight w:val="none"/>
          <w14:textFill>
            <w14:solidFill>
              <w14:schemeClr w14:val="tx1"/>
            </w14:solidFill>
          </w14:textFill>
        </w:rPr>
        <w:t>供应商</w:t>
      </w:r>
      <w:r>
        <w:rPr>
          <w:rFonts w:hint="eastAsia" w:ascii="仿宋" w:hAnsi="仿宋" w:eastAsia="仿宋"/>
          <w:color w:val="000000" w:themeColor="text1"/>
          <w:sz w:val="24"/>
          <w:highlight w:val="none"/>
          <w14:textFill>
            <w14:solidFill>
              <w14:schemeClr w14:val="tx1"/>
            </w14:solidFill>
          </w14:textFill>
        </w:rPr>
        <w:t>扰乱开标、</w:t>
      </w:r>
      <w:r>
        <w:rPr>
          <w:rFonts w:ascii="仿宋" w:hAnsi="仿宋" w:eastAsia="仿宋"/>
          <w:color w:val="000000" w:themeColor="text1"/>
          <w:sz w:val="24"/>
          <w:highlight w:val="none"/>
          <w14:textFill>
            <w14:solidFill>
              <w14:schemeClr w14:val="tx1"/>
            </w14:solidFill>
          </w14:textFill>
        </w:rPr>
        <w:t>评标</w:t>
      </w:r>
      <w:r>
        <w:rPr>
          <w:rFonts w:hint="eastAsia" w:ascii="仿宋" w:hAnsi="仿宋" w:eastAsia="仿宋"/>
          <w:color w:val="000000" w:themeColor="text1"/>
          <w:sz w:val="24"/>
          <w:highlight w:val="none"/>
          <w14:textFill>
            <w14:solidFill>
              <w14:schemeClr w14:val="tx1"/>
            </w14:solidFill>
          </w14:textFill>
        </w:rPr>
        <w:t>现场、影响评审或办公秩序的；</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（四）捏造事实、提供虚假材料、以非法手段取得证明材料或者未按规定程序进行质疑、投诉、诉讼，影响项目正常进行的；</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（五）提出不当要求，向</w:t>
      </w:r>
      <w:r>
        <w:rPr>
          <w:rFonts w:ascii="仿宋" w:hAnsi="仿宋" w:eastAsia="仿宋"/>
          <w:color w:val="000000" w:themeColor="text1"/>
          <w:sz w:val="24"/>
          <w:highlight w:val="none"/>
          <w14:textFill>
            <w14:solidFill>
              <w14:schemeClr w14:val="tx1"/>
            </w14:solidFill>
          </w14:textFill>
        </w:rPr>
        <w:t>采购代理机构或采购人</w:t>
      </w:r>
      <w:r>
        <w:rPr>
          <w:rFonts w:hint="eastAsia" w:ascii="仿宋" w:hAnsi="仿宋" w:eastAsia="仿宋"/>
          <w:color w:val="000000" w:themeColor="text1"/>
          <w:sz w:val="24"/>
          <w:highlight w:val="none"/>
          <w14:textFill>
            <w14:solidFill>
              <w14:schemeClr w14:val="tx1"/>
            </w14:solidFill>
          </w14:textFill>
        </w:rPr>
        <w:t>进行恶意敲诈的；</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（六）成交供应商在规定期限内未交纳成交服务费或</w:t>
      </w:r>
      <w:r>
        <w:rPr>
          <w:rFonts w:ascii="仿宋" w:hAnsi="仿宋" w:eastAsia="仿宋"/>
          <w:color w:val="000000" w:themeColor="text1"/>
          <w:sz w:val="24"/>
          <w:highlight w:val="none"/>
          <w14:textFill>
            <w14:solidFill>
              <w14:schemeClr w14:val="tx1"/>
            </w14:solidFill>
          </w14:textFill>
        </w:rPr>
        <w:t>不</w:t>
      </w:r>
      <w:r>
        <w:rPr>
          <w:rFonts w:hint="eastAsia" w:ascii="仿宋" w:hAnsi="仿宋" w:eastAsia="仿宋"/>
          <w:color w:val="000000" w:themeColor="text1"/>
          <w:sz w:val="24"/>
          <w:highlight w:val="none"/>
          <w14:textFill>
            <w14:solidFill>
              <w14:schemeClr w14:val="tx1"/>
            </w14:solidFill>
          </w14:textFill>
        </w:rPr>
        <w:t>缴纳</w:t>
      </w:r>
      <w:r>
        <w:rPr>
          <w:rFonts w:ascii="仿宋" w:hAnsi="仿宋" w:eastAsia="仿宋"/>
          <w:color w:val="000000" w:themeColor="text1"/>
          <w:sz w:val="24"/>
          <w:highlight w:val="none"/>
          <w14:textFill>
            <w14:solidFill>
              <w14:schemeClr w14:val="tx1"/>
            </w14:solidFill>
          </w14:textFill>
        </w:rPr>
        <w:t>履约保证金的</w:t>
      </w:r>
      <w:r>
        <w:rPr>
          <w:rFonts w:hint="eastAsia" w:ascii="仿宋" w:hAnsi="仿宋" w:eastAsia="仿宋"/>
          <w:color w:val="000000" w:themeColor="text1"/>
          <w:sz w:val="24"/>
          <w:highlight w:val="none"/>
          <w14:textFill>
            <w14:solidFill>
              <w14:schemeClr w14:val="tx1"/>
            </w14:solidFill>
          </w14:textFill>
        </w:rPr>
        <w:t>。</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（七）中标（成交）后，无正当理由拒不签订合同或者合同签订后未能履行又不按约赔偿的；</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（八）</w:t>
      </w:r>
      <w:r>
        <w:rPr>
          <w:rFonts w:ascii="仿宋" w:hAnsi="仿宋" w:eastAsia="仿宋"/>
          <w:color w:val="000000" w:themeColor="text1"/>
          <w:sz w:val="24"/>
          <w:highlight w:val="none"/>
          <w14:textFill>
            <w14:solidFill>
              <w14:schemeClr w14:val="tx1"/>
            </w14:solidFill>
          </w14:textFill>
        </w:rPr>
        <w:t>向评审专家、</w:t>
      </w:r>
      <w:r>
        <w:rPr>
          <w:rFonts w:hint="eastAsia" w:ascii="仿宋" w:hAnsi="仿宋" w:eastAsia="仿宋"/>
          <w:color w:val="000000" w:themeColor="text1"/>
          <w:sz w:val="24"/>
          <w:highlight w:val="none"/>
          <w14:textFill>
            <w14:solidFill>
              <w14:schemeClr w14:val="tx1"/>
            </w14:solidFill>
          </w14:textFill>
        </w:rPr>
        <w:t>采购人、其他项目参与人</w:t>
      </w:r>
      <w:r>
        <w:rPr>
          <w:rFonts w:ascii="仿宋" w:hAnsi="仿宋" w:eastAsia="仿宋"/>
          <w:color w:val="000000" w:themeColor="text1"/>
          <w:sz w:val="24"/>
          <w:highlight w:val="none"/>
          <w14:textFill>
            <w14:solidFill>
              <w14:schemeClr w14:val="tx1"/>
            </w14:solidFill>
          </w14:textFill>
        </w:rPr>
        <w:t>或</w:t>
      </w:r>
      <w:r>
        <w:rPr>
          <w:rFonts w:hint="eastAsia" w:ascii="仿宋" w:hAnsi="仿宋" w:eastAsia="仿宋"/>
          <w:color w:val="000000" w:themeColor="text1"/>
          <w:sz w:val="24"/>
          <w:highlight w:val="none"/>
          <w14:textFill>
            <w14:solidFill>
              <w14:schemeClr w14:val="tx1"/>
            </w14:solidFill>
          </w14:textFill>
        </w:rPr>
        <w:t>招标</w:t>
      </w:r>
      <w:r>
        <w:rPr>
          <w:rFonts w:ascii="仿宋" w:hAnsi="仿宋" w:eastAsia="仿宋"/>
          <w:color w:val="000000" w:themeColor="text1"/>
          <w:sz w:val="24"/>
          <w:highlight w:val="none"/>
          <w14:textFill>
            <w14:solidFill>
              <w14:schemeClr w14:val="tx1"/>
            </w14:solidFill>
          </w14:textFill>
        </w:rPr>
        <w:t>工作人员行贿或者提供其他不正当利益的</w:t>
      </w:r>
      <w:r>
        <w:rPr>
          <w:rFonts w:hint="eastAsia" w:ascii="仿宋" w:hAnsi="仿宋" w:eastAsia="仿宋"/>
          <w:color w:val="000000" w:themeColor="text1"/>
          <w:sz w:val="24"/>
          <w:highlight w:val="none"/>
          <w14:textFill>
            <w14:solidFill>
              <w14:schemeClr w14:val="tx1"/>
            </w14:solidFill>
          </w14:textFill>
        </w:rPr>
        <w:t>。</w:t>
      </w:r>
    </w:p>
    <w:p>
      <w:pPr>
        <w:spacing w:line="360" w:lineRule="auto"/>
        <w:ind w:firstLine="361" w:firstLineChars="15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16.6成交供应商违反第16.5条规定，并且导致成交无效的，采购人可以与排位在原成交供应商之后第一位的成交候选人签订采购合同或重新委托进行招标，同时，采购人或采购代理机构有权要求原成交供应商承担相应损失（包括但不限于以下损失）：</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（一）原招标活动产生的合理费用；</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（二）如最终成交价高于原成交价的，原成交供应商应当以成交价的差价对采购人进行赔偿。</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79" w:name="_Hlt26670489"/>
      <w:bookmarkEnd w:id="79"/>
      <w:bookmarkStart w:id="80" w:name="_Hlt26954850"/>
      <w:bookmarkEnd w:id="80"/>
      <w:bookmarkStart w:id="81" w:name="_Hlt26954734"/>
      <w:bookmarkEnd w:id="81"/>
      <w:bookmarkStart w:id="82" w:name="_Toc14577360"/>
      <w:bookmarkStart w:id="83" w:name="_Toc49090511"/>
      <w:r>
        <w:rPr>
          <w:rFonts w:ascii="仿宋" w:hAnsi="仿宋" w:eastAsia="仿宋"/>
          <w:bCs w:val="0"/>
          <w:color w:val="000000" w:themeColor="text1"/>
          <w:highlight w:val="none"/>
          <w14:textFill>
            <w14:solidFill>
              <w14:schemeClr w14:val="tx1"/>
            </w14:solidFill>
          </w14:textFill>
        </w:rPr>
        <w:t>17、</w:t>
      </w:r>
      <w:r>
        <w:rPr>
          <w:rFonts w:hint="eastAsia" w:ascii="仿宋" w:hAnsi="仿宋" w:eastAsia="仿宋"/>
          <w:bCs w:val="0"/>
          <w:color w:val="000000" w:themeColor="text1"/>
          <w:highlight w:val="none"/>
          <w14:textFill>
            <w14:solidFill>
              <w14:schemeClr w14:val="tx1"/>
            </w14:solidFill>
          </w14:textFill>
        </w:rPr>
        <w:t>响应文件的</w:t>
      </w:r>
      <w:r>
        <w:rPr>
          <w:rFonts w:ascii="仿宋" w:hAnsi="仿宋" w:eastAsia="仿宋"/>
          <w:bCs w:val="0"/>
          <w:color w:val="000000" w:themeColor="text1"/>
          <w:highlight w:val="none"/>
          <w14:textFill>
            <w14:solidFill>
              <w14:schemeClr w14:val="tx1"/>
            </w14:solidFill>
          </w14:textFill>
        </w:rPr>
        <w:t>有效期</w:t>
      </w:r>
      <w:bookmarkEnd w:id="82"/>
      <w:bookmarkEnd w:id="83"/>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17.1</w:t>
      </w:r>
      <w:r>
        <w:rPr>
          <w:rFonts w:hint="eastAsia" w:ascii="仿宋" w:hAnsi="仿宋" w:eastAsia="仿宋"/>
          <w:color w:val="000000" w:themeColor="text1"/>
          <w:sz w:val="24"/>
          <w:highlight w:val="none"/>
          <w14:textFill>
            <w14:solidFill>
              <w14:schemeClr w14:val="tx1"/>
            </w14:solidFill>
          </w14:textFill>
        </w:rPr>
        <w:t>自竞争性谈判当日起60天内，响应文件应保持有效。有效期短于这个规定期限的响应，将被拒绝。</w:t>
      </w:r>
    </w:p>
    <w:p>
      <w:pPr>
        <w:spacing w:line="360" w:lineRule="auto"/>
        <w:ind w:firstLine="360" w:firstLineChars="15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17.2 在特殊情况下，</w:t>
      </w:r>
      <w:r>
        <w:rPr>
          <w:rFonts w:hint="eastAsia" w:ascii="仿宋" w:hAnsi="仿宋" w:eastAsia="仿宋"/>
          <w:color w:val="000000" w:themeColor="text1"/>
          <w:sz w:val="24"/>
          <w:highlight w:val="none"/>
          <w14:textFill>
            <w14:solidFill>
              <w14:schemeClr w14:val="tx1"/>
            </w14:solidFill>
          </w14:textFill>
        </w:rPr>
        <w:t>采购人或采购代理机构</w:t>
      </w:r>
      <w:r>
        <w:rPr>
          <w:rFonts w:ascii="仿宋" w:hAnsi="仿宋" w:eastAsia="仿宋"/>
          <w:color w:val="000000" w:themeColor="text1"/>
          <w:sz w:val="24"/>
          <w:highlight w:val="none"/>
          <w14:textFill>
            <w14:solidFill>
              <w14:schemeClr w14:val="tx1"/>
            </w14:solidFill>
          </w14:textFill>
        </w:rPr>
        <w:t>于原有效期满之前，可向供应商提出延长有效期的要求。这种要求与答复均应采用书面形式。供应商可以拒绝</w:t>
      </w:r>
      <w:r>
        <w:rPr>
          <w:rFonts w:hint="eastAsia" w:ascii="仿宋" w:hAnsi="仿宋" w:eastAsia="仿宋"/>
          <w:color w:val="000000" w:themeColor="text1"/>
          <w:sz w:val="24"/>
          <w:highlight w:val="none"/>
          <w14:textFill>
            <w14:solidFill>
              <w14:schemeClr w14:val="tx1"/>
            </w14:solidFill>
          </w14:textFill>
        </w:rPr>
        <w:t>采购人或采购代理机构</w:t>
      </w:r>
      <w:r>
        <w:rPr>
          <w:rFonts w:ascii="仿宋" w:hAnsi="仿宋" w:eastAsia="仿宋"/>
          <w:color w:val="000000" w:themeColor="text1"/>
          <w:sz w:val="24"/>
          <w:highlight w:val="none"/>
          <w14:textFill>
            <w14:solidFill>
              <w14:schemeClr w14:val="tx1"/>
            </w14:solidFill>
          </w14:textFill>
        </w:rPr>
        <w:t>的这一要求而放弃</w:t>
      </w:r>
      <w:r>
        <w:rPr>
          <w:rFonts w:hint="eastAsia" w:ascii="仿宋" w:hAnsi="仿宋" w:eastAsia="仿宋"/>
          <w:color w:val="000000" w:themeColor="text1"/>
          <w:sz w:val="24"/>
          <w:highlight w:val="none"/>
          <w14:textFill>
            <w14:solidFill>
              <w14:schemeClr w14:val="tx1"/>
            </w14:solidFill>
          </w14:textFill>
        </w:rPr>
        <w:t>参加竞争性谈判</w:t>
      </w:r>
      <w:r>
        <w:rPr>
          <w:rFonts w:ascii="仿宋" w:hAnsi="仿宋" w:eastAsia="仿宋"/>
          <w:color w:val="000000" w:themeColor="text1"/>
          <w:sz w:val="24"/>
          <w:highlight w:val="none"/>
          <w14:textFill>
            <w14:solidFill>
              <w14:schemeClr w14:val="tx1"/>
            </w14:solidFill>
          </w14:textFill>
        </w:rPr>
        <w:t>。同意延长有效期的供应商既不能要求也不允许修改其响应文件。在延长期内继续有效，同时受有效期约束的所有权利与义务均延长至新的有效期。</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84" w:name="_Hlt26954739"/>
      <w:bookmarkEnd w:id="84"/>
      <w:bookmarkStart w:id="85" w:name="_Hlt26954852"/>
      <w:bookmarkEnd w:id="85"/>
      <w:bookmarkStart w:id="86" w:name="_Toc14577361"/>
      <w:bookmarkStart w:id="87" w:name="_Toc49090512"/>
      <w:r>
        <w:rPr>
          <w:rFonts w:ascii="仿宋" w:hAnsi="仿宋" w:eastAsia="仿宋"/>
          <w:bCs w:val="0"/>
          <w:color w:val="000000" w:themeColor="text1"/>
          <w:highlight w:val="none"/>
          <w14:textFill>
            <w14:solidFill>
              <w14:schemeClr w14:val="tx1"/>
            </w14:solidFill>
          </w14:textFill>
        </w:rPr>
        <w:t>18、响应文件份数和签署</w:t>
      </w:r>
      <w:bookmarkEnd w:id="86"/>
      <w:bookmarkEnd w:id="87"/>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18.1 供应商应严格按照</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公告要求的份数准备响应文件，每份响应文件须清楚地标明“正本”或“副本”字样。一旦正本和副本不符，以正本为准。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18.2 响应文件的正本和所有的副本均需打印或复印，</w:t>
      </w:r>
      <w:r>
        <w:rPr>
          <w:rFonts w:hint="eastAsia" w:ascii="仿宋" w:hAnsi="仿宋" w:eastAsia="仿宋" w:cs="仿宋"/>
          <w:color w:val="000000" w:themeColor="text1"/>
          <w:sz w:val="24"/>
          <w:highlight w:val="none"/>
          <w14:textFill>
            <w14:solidFill>
              <w14:schemeClr w14:val="tx1"/>
            </w14:solidFill>
          </w14:textFill>
        </w:rPr>
        <w:t>按顺序胶装成册，并编制响应文件目录索引，</w:t>
      </w:r>
      <w:r>
        <w:rPr>
          <w:rFonts w:hint="eastAsia" w:ascii="仿宋" w:hAnsi="仿宋" w:eastAsia="仿宋"/>
          <w:color w:val="000000" w:themeColor="text1"/>
          <w:sz w:val="24"/>
          <w:highlight w:val="none"/>
          <w14:textFill>
            <w14:solidFill>
              <w14:schemeClr w14:val="tx1"/>
            </w14:solidFill>
          </w14:textFill>
        </w:rPr>
        <w:t>且</w:t>
      </w:r>
      <w:r>
        <w:rPr>
          <w:rFonts w:ascii="仿宋" w:hAnsi="仿宋" w:eastAsia="仿宋"/>
          <w:color w:val="000000" w:themeColor="text1"/>
          <w:sz w:val="24"/>
          <w:highlight w:val="none"/>
          <w14:textFill>
            <w14:solidFill>
              <w14:schemeClr w14:val="tx1"/>
            </w14:solidFill>
          </w14:textFill>
        </w:rPr>
        <w:t>由供应商法定代表人或其授权代表签字。</w:t>
      </w:r>
      <w:r>
        <w:rPr>
          <w:rFonts w:ascii="仿宋" w:hAnsi="仿宋" w:eastAsia="仿宋"/>
          <w:b/>
          <w:color w:val="000000" w:themeColor="text1"/>
          <w:sz w:val="24"/>
          <w:highlight w:val="none"/>
          <w:u w:val="single"/>
          <w14:textFill>
            <w14:solidFill>
              <w14:schemeClr w14:val="tx1"/>
            </w14:solidFill>
          </w14:textFill>
        </w:rPr>
        <w:t>授权代表为非法定代表人时，须将法定代表人以书面形式出具的“法定代表人授权书”（原件）附在响应文件中。</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18.3 除供应商对错处做必要修改外，响应文件不得行间插字、涂改或增删。如有修改错漏处，必须由响应文件签署人签字或盖章。</w:t>
      </w:r>
    </w:p>
    <w:p>
      <w:pPr>
        <w:pStyle w:val="4"/>
        <w:spacing w:before="156" w:beforeLines="50" w:after="156" w:afterLines="50" w:line="360" w:lineRule="auto"/>
        <w:ind w:firstLine="482" w:firstLineChars="150"/>
        <w:rPr>
          <w:rFonts w:ascii="仿宋" w:hAnsi="仿宋" w:eastAsia="仿宋"/>
          <w:color w:val="000000" w:themeColor="text1"/>
          <w:sz w:val="32"/>
          <w:szCs w:val="32"/>
          <w:highlight w:val="none"/>
          <w:u w:val="none"/>
          <w14:textFill>
            <w14:solidFill>
              <w14:schemeClr w14:val="tx1"/>
            </w14:solidFill>
          </w14:textFill>
        </w:rPr>
      </w:pPr>
      <w:bookmarkStart w:id="88" w:name="_Toc513029224"/>
      <w:bookmarkStart w:id="89" w:name="_Toc20823296"/>
      <w:bookmarkStart w:id="90" w:name="_Toc16938540"/>
      <w:bookmarkStart w:id="91" w:name="_Toc120614217"/>
      <w:r>
        <w:rPr>
          <w:rFonts w:ascii="仿宋" w:hAnsi="仿宋" w:eastAsia="仿宋"/>
          <w:color w:val="000000" w:themeColor="text1"/>
          <w:sz w:val="32"/>
          <w:szCs w:val="32"/>
          <w:highlight w:val="none"/>
          <w:u w:val="none"/>
          <w14:textFill>
            <w14:solidFill>
              <w14:schemeClr w14:val="tx1"/>
            </w14:solidFill>
          </w14:textFill>
        </w:rPr>
        <w:t>四、响应文件的递交</w:t>
      </w:r>
      <w:bookmarkEnd w:id="88"/>
      <w:bookmarkEnd w:id="89"/>
      <w:bookmarkEnd w:id="90"/>
      <w:bookmarkEnd w:id="91"/>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92" w:name="_Toc20823297"/>
      <w:bookmarkStart w:id="93" w:name="_Toc513029225"/>
      <w:bookmarkStart w:id="94" w:name="_Toc16938541"/>
      <w:bookmarkStart w:id="95" w:name="_Toc462564084"/>
      <w:r>
        <w:rPr>
          <w:rFonts w:ascii="仿宋" w:hAnsi="仿宋" w:eastAsia="仿宋"/>
          <w:bCs w:val="0"/>
          <w:color w:val="000000" w:themeColor="text1"/>
          <w:highlight w:val="none"/>
          <w14:textFill>
            <w14:solidFill>
              <w14:schemeClr w14:val="tx1"/>
            </w14:solidFill>
          </w14:textFill>
        </w:rPr>
        <w:t>19、响应文件的密封和标记</w:t>
      </w:r>
      <w:bookmarkEnd w:id="92"/>
      <w:bookmarkEnd w:id="93"/>
      <w:bookmarkEnd w:id="94"/>
      <w:bookmarkEnd w:id="95"/>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19.1供应商应将响应文件正本和所有副本密封，并加盖供应商公章。不论供应商成交与否，响应文件均不退回。</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19.2 密封的响应文件应：</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(1) </w:t>
      </w:r>
      <w:r>
        <w:rPr>
          <w:rFonts w:hint="eastAsia" w:ascii="仿宋" w:hAnsi="仿宋" w:eastAsia="仿宋"/>
          <w:color w:val="000000" w:themeColor="text1"/>
          <w:sz w:val="24"/>
          <w:highlight w:val="none"/>
          <w14:textFill>
            <w14:solidFill>
              <w14:schemeClr w14:val="tx1"/>
            </w14:solidFill>
          </w14:textFill>
        </w:rPr>
        <w:t>在封皮上</w:t>
      </w:r>
      <w:r>
        <w:rPr>
          <w:rFonts w:ascii="仿宋" w:hAnsi="仿宋" w:eastAsia="仿宋"/>
          <w:color w:val="000000" w:themeColor="text1"/>
          <w:sz w:val="24"/>
          <w:highlight w:val="none"/>
          <w14:textFill>
            <w14:solidFill>
              <w14:schemeClr w14:val="tx1"/>
            </w14:solidFill>
          </w14:textFill>
        </w:rPr>
        <w:t>注明供应商名称，如因标注不清而产生的后果由供应商自负。按</w:t>
      </w:r>
      <w:r>
        <w:rPr>
          <w:rFonts w:hint="eastAsia" w:ascii="仿宋" w:hAnsi="仿宋" w:eastAsia="仿宋"/>
          <w:color w:val="000000" w:themeColor="text1"/>
          <w:sz w:val="24"/>
          <w:highlight w:val="none"/>
          <w14:textFill>
            <w14:solidFill>
              <w14:schemeClr w14:val="tx1"/>
            </w14:solidFill>
          </w14:textFill>
        </w:rPr>
        <w:t>本项目</w:t>
      </w:r>
      <w:r>
        <w:rPr>
          <w:rFonts w:ascii="仿宋" w:hAnsi="仿宋" w:eastAsia="仿宋"/>
          <w:color w:val="000000" w:themeColor="text1"/>
          <w:sz w:val="24"/>
          <w:highlight w:val="none"/>
          <w14:textFill>
            <w14:solidFill>
              <w14:schemeClr w14:val="tx1"/>
            </w14:solidFill>
          </w14:textFill>
        </w:rPr>
        <w:t>竞争性谈判</w:t>
      </w:r>
      <w:r>
        <w:rPr>
          <w:rFonts w:hint="eastAsia" w:ascii="仿宋" w:hAnsi="仿宋" w:eastAsia="仿宋"/>
          <w:color w:val="000000" w:themeColor="text1"/>
          <w:sz w:val="24"/>
          <w:highlight w:val="none"/>
          <w14:textFill>
            <w14:solidFill>
              <w14:schemeClr w14:val="tx1"/>
            </w14:solidFill>
          </w14:textFill>
        </w:rPr>
        <w:t>公告</w:t>
      </w:r>
      <w:r>
        <w:rPr>
          <w:rFonts w:ascii="仿宋" w:hAnsi="仿宋" w:eastAsia="仿宋"/>
          <w:color w:val="000000" w:themeColor="text1"/>
          <w:sz w:val="24"/>
          <w:highlight w:val="none"/>
          <w14:textFill>
            <w14:solidFill>
              <w14:schemeClr w14:val="tx1"/>
            </w14:solidFill>
          </w14:textFill>
        </w:rPr>
        <w:t>中注明的接收时间和接收地点送达</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 注明项目名称、项目编号及</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开标时启封</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的字样。</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 xml:space="preserve"> 所有</w:t>
      </w:r>
      <w:r>
        <w:rPr>
          <w:rFonts w:ascii="仿宋" w:hAnsi="仿宋" w:eastAsia="仿宋"/>
          <w:color w:val="000000" w:themeColor="text1"/>
          <w:sz w:val="24"/>
          <w:highlight w:val="none"/>
          <w14:textFill>
            <w14:solidFill>
              <w14:schemeClr w14:val="tx1"/>
            </w14:solidFill>
          </w14:textFill>
        </w:rPr>
        <w:t>响应文件密封口须加盖供应商公章、法定代表人或授权委托人签字或盖章。</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19.3 如果响应文件被宣布为</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迟到</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时，</w:t>
      </w:r>
      <w:r>
        <w:rPr>
          <w:rFonts w:hint="eastAsia" w:ascii="仿宋" w:hAnsi="仿宋" w:eastAsia="仿宋"/>
          <w:color w:val="000000" w:themeColor="text1"/>
          <w:sz w:val="24"/>
          <w:highlight w:val="none"/>
          <w14:textFill>
            <w14:solidFill>
              <w14:schemeClr w14:val="tx1"/>
            </w14:solidFill>
          </w14:textFill>
        </w:rPr>
        <w:t>采购代理机构将</w:t>
      </w:r>
      <w:r>
        <w:rPr>
          <w:rFonts w:ascii="仿宋" w:hAnsi="仿宋" w:eastAsia="仿宋"/>
          <w:color w:val="000000" w:themeColor="text1"/>
          <w:sz w:val="24"/>
          <w:highlight w:val="none"/>
          <w14:textFill>
            <w14:solidFill>
              <w14:schemeClr w14:val="tx1"/>
            </w14:solidFill>
          </w14:textFill>
        </w:rPr>
        <w:t>原封退回。</w:t>
      </w:r>
    </w:p>
    <w:p>
      <w:pPr>
        <w:spacing w:line="36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ascii="仿宋" w:hAnsi="仿宋" w:eastAsia="仿宋"/>
          <w:b/>
          <w:bCs/>
          <w:color w:val="000000" w:themeColor="text1"/>
          <w:sz w:val="24"/>
          <w:highlight w:val="none"/>
          <w14:textFill>
            <w14:solidFill>
              <w14:schemeClr w14:val="tx1"/>
            </w14:solidFill>
          </w14:textFill>
        </w:rPr>
        <w:t>19.4 未按要求密封和加写标记</w:t>
      </w:r>
      <w:r>
        <w:rPr>
          <w:rFonts w:hint="eastAsia" w:ascii="仿宋" w:hAnsi="仿宋" w:eastAsia="仿宋"/>
          <w:b/>
          <w:bCs/>
          <w:color w:val="000000" w:themeColor="text1"/>
          <w:sz w:val="24"/>
          <w:highlight w:val="none"/>
          <w14:textFill>
            <w14:solidFill>
              <w14:schemeClr w14:val="tx1"/>
            </w14:solidFill>
          </w14:textFill>
        </w:rPr>
        <w:t>的响应文件</w:t>
      </w:r>
      <w:r>
        <w:rPr>
          <w:rFonts w:ascii="仿宋" w:hAnsi="仿宋" w:eastAsia="仿宋"/>
          <w:b/>
          <w:bCs/>
          <w:color w:val="000000" w:themeColor="text1"/>
          <w:sz w:val="24"/>
          <w:highlight w:val="none"/>
          <w14:textFill>
            <w14:solidFill>
              <w14:schemeClr w14:val="tx1"/>
            </w14:solidFill>
          </w14:textFill>
        </w:rPr>
        <w:t>，</w:t>
      </w:r>
      <w:r>
        <w:rPr>
          <w:rFonts w:hint="eastAsia" w:ascii="仿宋" w:hAnsi="仿宋" w:eastAsia="仿宋"/>
          <w:b/>
          <w:bCs/>
          <w:color w:val="000000" w:themeColor="text1"/>
          <w:sz w:val="24"/>
          <w:highlight w:val="none"/>
          <w14:textFill>
            <w14:solidFill>
              <w14:schemeClr w14:val="tx1"/>
            </w14:solidFill>
          </w14:textFill>
        </w:rPr>
        <w:t>采购代理机构</w:t>
      </w:r>
      <w:r>
        <w:rPr>
          <w:rFonts w:ascii="仿宋" w:hAnsi="仿宋" w:eastAsia="仿宋"/>
          <w:b/>
          <w:bCs/>
          <w:color w:val="000000" w:themeColor="text1"/>
          <w:sz w:val="24"/>
          <w:highlight w:val="none"/>
          <w14:textFill>
            <w14:solidFill>
              <w14:schemeClr w14:val="tx1"/>
            </w14:solidFill>
          </w14:textFill>
        </w:rPr>
        <w:t>将予以拒绝</w:t>
      </w:r>
      <w:r>
        <w:rPr>
          <w:rFonts w:hint="eastAsia" w:ascii="仿宋" w:hAnsi="仿宋" w:eastAsia="仿宋"/>
          <w:b/>
          <w:bCs/>
          <w:color w:val="000000" w:themeColor="text1"/>
          <w:sz w:val="24"/>
          <w:highlight w:val="none"/>
          <w14:textFill>
            <w14:solidFill>
              <w14:schemeClr w14:val="tx1"/>
            </w14:solidFill>
          </w14:textFill>
        </w:rPr>
        <w:t>。采购代理机构</w:t>
      </w:r>
      <w:r>
        <w:rPr>
          <w:rFonts w:ascii="仿宋" w:hAnsi="仿宋" w:eastAsia="仿宋"/>
          <w:b/>
          <w:bCs/>
          <w:color w:val="000000" w:themeColor="text1"/>
          <w:sz w:val="24"/>
          <w:highlight w:val="none"/>
          <w14:textFill>
            <w14:solidFill>
              <w14:schemeClr w14:val="tx1"/>
            </w14:solidFill>
          </w14:textFill>
        </w:rPr>
        <w:t>对</w:t>
      </w:r>
      <w:r>
        <w:rPr>
          <w:rFonts w:hint="eastAsia" w:ascii="仿宋" w:hAnsi="仿宋" w:eastAsia="仿宋"/>
          <w:b/>
          <w:bCs/>
          <w:color w:val="000000" w:themeColor="text1"/>
          <w:sz w:val="24"/>
          <w:highlight w:val="none"/>
          <w14:textFill>
            <w14:solidFill>
              <w14:schemeClr w14:val="tx1"/>
            </w14:solidFill>
          </w14:textFill>
        </w:rPr>
        <w:t>响应文件的</w:t>
      </w:r>
      <w:r>
        <w:rPr>
          <w:rFonts w:ascii="仿宋" w:hAnsi="仿宋" w:eastAsia="仿宋"/>
          <w:b/>
          <w:bCs/>
          <w:color w:val="000000" w:themeColor="text1"/>
          <w:sz w:val="24"/>
          <w:highlight w:val="none"/>
          <w14:textFill>
            <w14:solidFill>
              <w14:schemeClr w14:val="tx1"/>
            </w14:solidFill>
          </w14:textFill>
        </w:rPr>
        <w:t>误投或过早启封概不负责</w:t>
      </w:r>
      <w:r>
        <w:rPr>
          <w:rFonts w:hint="eastAsia" w:ascii="仿宋" w:hAnsi="仿宋" w:eastAsia="仿宋"/>
          <w:b/>
          <w:bCs/>
          <w:color w:val="000000" w:themeColor="text1"/>
          <w:sz w:val="24"/>
          <w:highlight w:val="none"/>
          <w14:textFill>
            <w14:solidFill>
              <w14:schemeClr w14:val="tx1"/>
            </w14:solidFill>
          </w14:textFill>
        </w:rPr>
        <w:t>，</w:t>
      </w:r>
      <w:r>
        <w:rPr>
          <w:rFonts w:ascii="仿宋" w:hAnsi="仿宋" w:eastAsia="仿宋"/>
          <w:b/>
          <w:bCs/>
          <w:color w:val="000000" w:themeColor="text1"/>
          <w:sz w:val="24"/>
          <w:highlight w:val="none"/>
          <w14:textFill>
            <w14:solidFill>
              <w14:schemeClr w14:val="tx1"/>
            </w14:solidFill>
          </w14:textFill>
        </w:rPr>
        <w:t>对由此造成提前开封的响应文件，</w:t>
      </w:r>
      <w:r>
        <w:rPr>
          <w:rFonts w:hint="eastAsia" w:ascii="仿宋" w:hAnsi="仿宋" w:eastAsia="仿宋"/>
          <w:b/>
          <w:bCs/>
          <w:color w:val="000000" w:themeColor="text1"/>
          <w:sz w:val="24"/>
          <w:highlight w:val="none"/>
          <w14:textFill>
            <w14:solidFill>
              <w14:schemeClr w14:val="tx1"/>
            </w14:solidFill>
          </w14:textFill>
        </w:rPr>
        <w:t>采购代理机构有权拒绝</w:t>
      </w:r>
      <w:r>
        <w:rPr>
          <w:rFonts w:ascii="仿宋" w:hAnsi="仿宋" w:eastAsia="仿宋"/>
          <w:b/>
          <w:bCs/>
          <w:color w:val="000000" w:themeColor="text1"/>
          <w:sz w:val="24"/>
          <w:highlight w:val="none"/>
          <w14:textFill>
            <w14:solidFill>
              <w14:schemeClr w14:val="tx1"/>
            </w14:solidFill>
          </w14:textFill>
        </w:rPr>
        <w:t>。</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96" w:name="_Toc16938542"/>
      <w:bookmarkStart w:id="97" w:name="_Toc513029226"/>
      <w:bookmarkStart w:id="98" w:name="_Toc20823298"/>
      <w:r>
        <w:rPr>
          <w:rFonts w:ascii="仿宋" w:hAnsi="仿宋" w:eastAsia="仿宋"/>
          <w:bCs w:val="0"/>
          <w:color w:val="000000" w:themeColor="text1"/>
          <w:highlight w:val="none"/>
          <w14:textFill>
            <w14:solidFill>
              <w14:schemeClr w14:val="tx1"/>
            </w14:solidFill>
          </w14:textFill>
        </w:rPr>
        <w:t>20、</w:t>
      </w:r>
      <w:r>
        <w:rPr>
          <w:rFonts w:hint="eastAsia" w:ascii="仿宋" w:hAnsi="仿宋" w:eastAsia="仿宋"/>
          <w:bCs w:val="0"/>
          <w:color w:val="000000" w:themeColor="text1"/>
          <w:highlight w:val="none"/>
          <w14:textFill>
            <w14:solidFill>
              <w14:schemeClr w14:val="tx1"/>
            </w14:solidFill>
          </w14:textFill>
        </w:rPr>
        <w:t>响应文件递交</w:t>
      </w:r>
      <w:r>
        <w:rPr>
          <w:rFonts w:ascii="仿宋" w:hAnsi="仿宋" w:eastAsia="仿宋"/>
          <w:bCs w:val="0"/>
          <w:color w:val="000000" w:themeColor="text1"/>
          <w:highlight w:val="none"/>
          <w14:textFill>
            <w14:solidFill>
              <w14:schemeClr w14:val="tx1"/>
            </w14:solidFill>
          </w14:textFill>
        </w:rPr>
        <w:t>截止</w:t>
      </w:r>
      <w:r>
        <w:rPr>
          <w:rFonts w:hint="eastAsia" w:ascii="仿宋" w:hAnsi="仿宋" w:eastAsia="仿宋"/>
          <w:bCs w:val="0"/>
          <w:color w:val="000000" w:themeColor="text1"/>
          <w:highlight w:val="none"/>
          <w14:textFill>
            <w14:solidFill>
              <w14:schemeClr w14:val="tx1"/>
            </w14:solidFill>
          </w14:textFill>
        </w:rPr>
        <w:t>时间</w:t>
      </w:r>
      <w:bookmarkEnd w:id="96"/>
      <w:bookmarkEnd w:id="97"/>
      <w:bookmarkEnd w:id="98"/>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20.1</w:t>
      </w:r>
      <w:r>
        <w:rPr>
          <w:rFonts w:ascii="仿宋" w:hAnsi="仿宋" w:eastAsia="仿宋"/>
          <w:color w:val="000000" w:themeColor="text1"/>
          <w:sz w:val="24"/>
          <w:highlight w:val="none"/>
          <w14:textFill>
            <w14:solidFill>
              <w14:schemeClr w14:val="tx1"/>
            </w14:solidFill>
          </w14:textFill>
        </w:rPr>
        <w:t>供应商</w:t>
      </w:r>
      <w:r>
        <w:rPr>
          <w:rFonts w:hint="eastAsia" w:ascii="仿宋" w:hAnsi="仿宋" w:eastAsia="仿宋"/>
          <w:color w:val="000000" w:themeColor="text1"/>
          <w:sz w:val="24"/>
          <w:highlight w:val="none"/>
          <w14:textFill>
            <w14:solidFill>
              <w14:schemeClr w14:val="tx1"/>
            </w14:solidFill>
          </w14:textFill>
        </w:rPr>
        <w:t>应当在</w:t>
      </w:r>
      <w:r>
        <w:rPr>
          <w:rFonts w:ascii="仿宋" w:hAnsi="仿宋" w:eastAsia="仿宋"/>
          <w:color w:val="000000" w:themeColor="text1"/>
          <w:sz w:val="24"/>
          <w:highlight w:val="none"/>
          <w14:textFill>
            <w14:solidFill>
              <w14:schemeClr w14:val="tx1"/>
            </w14:solidFill>
          </w14:textFill>
        </w:rPr>
        <w:t>竞争性</w:t>
      </w:r>
      <w:r>
        <w:rPr>
          <w:rFonts w:hint="eastAsia" w:ascii="仿宋" w:hAnsi="仿宋" w:eastAsia="仿宋"/>
          <w:color w:val="000000" w:themeColor="text1"/>
          <w:sz w:val="24"/>
          <w:highlight w:val="none"/>
          <w14:textFill>
            <w14:solidFill>
              <w14:schemeClr w14:val="tx1"/>
            </w14:solidFill>
          </w14:textFill>
        </w:rPr>
        <w:t>谈判文件要求提交响应文件的截止时间前，将响应文件送达规定地点。</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20.2 </w:t>
      </w:r>
      <w:r>
        <w:rPr>
          <w:rFonts w:hint="eastAsia" w:ascii="仿宋" w:hAnsi="仿宋" w:eastAsia="仿宋"/>
          <w:color w:val="000000" w:themeColor="text1"/>
          <w:sz w:val="24"/>
          <w:highlight w:val="none"/>
          <w14:textFill>
            <w14:solidFill>
              <w14:schemeClr w14:val="tx1"/>
            </w14:solidFill>
          </w14:textFill>
        </w:rPr>
        <w:t>采购人或采购代理机构</w:t>
      </w:r>
      <w:r>
        <w:rPr>
          <w:rFonts w:ascii="仿宋" w:hAnsi="仿宋" w:eastAsia="仿宋"/>
          <w:color w:val="000000" w:themeColor="text1"/>
          <w:sz w:val="24"/>
          <w:highlight w:val="none"/>
          <w14:textFill>
            <w14:solidFill>
              <w14:schemeClr w14:val="tx1"/>
            </w14:solidFill>
          </w14:textFill>
        </w:rPr>
        <w:t>可以按照规定，通过修改竞争性</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文件有权酌情延长</w:t>
      </w:r>
      <w:r>
        <w:rPr>
          <w:rFonts w:hint="eastAsia" w:ascii="仿宋" w:hAnsi="仿宋" w:eastAsia="仿宋"/>
          <w:color w:val="000000" w:themeColor="text1"/>
          <w:sz w:val="24"/>
          <w:highlight w:val="none"/>
          <w14:textFill>
            <w14:solidFill>
              <w14:schemeClr w14:val="tx1"/>
            </w14:solidFill>
          </w14:textFill>
        </w:rPr>
        <w:t>响应文件递交</w:t>
      </w:r>
      <w:r>
        <w:rPr>
          <w:rFonts w:ascii="仿宋" w:hAnsi="仿宋" w:eastAsia="仿宋"/>
          <w:color w:val="000000" w:themeColor="text1"/>
          <w:sz w:val="24"/>
          <w:highlight w:val="none"/>
          <w14:textFill>
            <w14:solidFill>
              <w14:schemeClr w14:val="tx1"/>
            </w14:solidFill>
          </w14:textFill>
        </w:rPr>
        <w:t>截止</w:t>
      </w:r>
      <w:r>
        <w:rPr>
          <w:rFonts w:hint="eastAsia" w:ascii="仿宋" w:hAnsi="仿宋" w:eastAsia="仿宋"/>
          <w:color w:val="000000" w:themeColor="text1"/>
          <w:sz w:val="24"/>
          <w:highlight w:val="none"/>
          <w14:textFill>
            <w14:solidFill>
              <w14:schemeClr w14:val="tx1"/>
            </w14:solidFill>
          </w14:textFill>
        </w:rPr>
        <w:t>时间</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以书面形式通知所有购买竞争性谈判文件的供应商。</w:t>
      </w:r>
      <w:r>
        <w:rPr>
          <w:rFonts w:ascii="仿宋" w:hAnsi="仿宋" w:eastAsia="仿宋"/>
          <w:color w:val="000000" w:themeColor="text1"/>
          <w:sz w:val="24"/>
          <w:highlight w:val="none"/>
          <w14:textFill>
            <w14:solidFill>
              <w14:schemeClr w14:val="tx1"/>
            </w14:solidFill>
          </w14:textFill>
        </w:rPr>
        <w:t>在此情况下，供应商的所有权利和义务以及供应商受制的截止</w:t>
      </w:r>
      <w:r>
        <w:rPr>
          <w:rFonts w:hint="eastAsia" w:ascii="仿宋" w:hAnsi="仿宋" w:eastAsia="仿宋"/>
          <w:color w:val="000000" w:themeColor="text1"/>
          <w:sz w:val="24"/>
          <w:highlight w:val="none"/>
          <w14:textFill>
            <w14:solidFill>
              <w14:schemeClr w14:val="tx1"/>
            </w14:solidFill>
          </w14:textFill>
        </w:rPr>
        <w:t>时间</w:t>
      </w:r>
      <w:r>
        <w:rPr>
          <w:rFonts w:ascii="仿宋" w:hAnsi="仿宋" w:eastAsia="仿宋"/>
          <w:color w:val="000000" w:themeColor="text1"/>
          <w:sz w:val="24"/>
          <w:highlight w:val="none"/>
          <w14:textFill>
            <w14:solidFill>
              <w14:schemeClr w14:val="tx1"/>
            </w14:solidFill>
          </w14:textFill>
        </w:rPr>
        <w:t>均应以延长后新的截止</w:t>
      </w:r>
      <w:r>
        <w:rPr>
          <w:rFonts w:hint="eastAsia" w:ascii="仿宋" w:hAnsi="仿宋" w:eastAsia="仿宋"/>
          <w:color w:val="000000" w:themeColor="text1"/>
          <w:sz w:val="24"/>
          <w:highlight w:val="none"/>
          <w14:textFill>
            <w14:solidFill>
              <w14:schemeClr w14:val="tx1"/>
            </w14:solidFill>
          </w14:textFill>
        </w:rPr>
        <w:t>时间</w:t>
      </w:r>
      <w:r>
        <w:rPr>
          <w:rFonts w:ascii="仿宋" w:hAnsi="仿宋" w:eastAsia="仿宋"/>
          <w:color w:val="000000" w:themeColor="text1"/>
          <w:sz w:val="24"/>
          <w:highlight w:val="none"/>
          <w14:textFill>
            <w14:solidFill>
              <w14:schemeClr w14:val="tx1"/>
            </w14:solidFill>
          </w14:textFill>
        </w:rPr>
        <w:t>为准。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20.3迟于响应文件递交截止时间的，采购代理机构将有权拒绝接收其响应文件。公证人员或供应商代表当众检验响应文件的密封情况，确认无误后方可进行拆封。</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99" w:name="_Toc20823299"/>
      <w:bookmarkStart w:id="100" w:name="_Toc16938543"/>
      <w:bookmarkStart w:id="101" w:name="_Toc513029227"/>
      <w:r>
        <w:rPr>
          <w:rFonts w:ascii="仿宋" w:hAnsi="仿宋" w:eastAsia="仿宋"/>
          <w:bCs w:val="0"/>
          <w:color w:val="000000" w:themeColor="text1"/>
          <w:highlight w:val="none"/>
          <w14:textFill>
            <w14:solidFill>
              <w14:schemeClr w14:val="tx1"/>
            </w14:solidFill>
          </w14:textFill>
        </w:rPr>
        <w:t>21、迟交的</w:t>
      </w:r>
      <w:bookmarkEnd w:id="99"/>
      <w:bookmarkEnd w:id="100"/>
      <w:bookmarkEnd w:id="101"/>
      <w:r>
        <w:rPr>
          <w:rFonts w:ascii="仿宋" w:hAnsi="仿宋" w:eastAsia="仿宋"/>
          <w:bCs w:val="0"/>
          <w:color w:val="000000" w:themeColor="text1"/>
          <w:highlight w:val="none"/>
          <w14:textFill>
            <w14:solidFill>
              <w14:schemeClr w14:val="tx1"/>
            </w14:solidFill>
          </w14:textFill>
        </w:rPr>
        <w:t>响应文件</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21.1 </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将拒绝并原封退回在</w:t>
      </w:r>
      <w:r>
        <w:rPr>
          <w:rFonts w:hint="eastAsia" w:ascii="仿宋" w:hAnsi="仿宋" w:eastAsia="仿宋"/>
          <w:color w:val="000000" w:themeColor="text1"/>
          <w:sz w:val="24"/>
          <w:highlight w:val="none"/>
          <w14:textFill>
            <w14:solidFill>
              <w14:schemeClr w14:val="tx1"/>
            </w14:solidFill>
          </w14:textFill>
        </w:rPr>
        <w:t>竞争性谈判公告</w:t>
      </w:r>
      <w:r>
        <w:rPr>
          <w:rFonts w:ascii="仿宋" w:hAnsi="仿宋" w:eastAsia="仿宋"/>
          <w:color w:val="000000" w:themeColor="text1"/>
          <w:sz w:val="24"/>
          <w:highlight w:val="none"/>
          <w14:textFill>
            <w14:solidFill>
              <w14:schemeClr w14:val="tx1"/>
            </w14:solidFill>
          </w14:textFill>
        </w:rPr>
        <w:t>规定的</w:t>
      </w:r>
      <w:r>
        <w:rPr>
          <w:rFonts w:hint="eastAsia" w:ascii="仿宋" w:hAnsi="仿宋" w:eastAsia="仿宋"/>
          <w:color w:val="000000" w:themeColor="text1"/>
          <w:sz w:val="24"/>
          <w:highlight w:val="none"/>
          <w14:textFill>
            <w14:solidFill>
              <w14:schemeClr w14:val="tx1"/>
            </w14:solidFill>
          </w14:textFill>
        </w:rPr>
        <w:t>响应文件递交</w:t>
      </w:r>
      <w:r>
        <w:rPr>
          <w:rFonts w:ascii="仿宋" w:hAnsi="仿宋" w:eastAsia="仿宋"/>
          <w:color w:val="000000" w:themeColor="text1"/>
          <w:sz w:val="24"/>
          <w:highlight w:val="none"/>
          <w14:textFill>
            <w14:solidFill>
              <w14:schemeClr w14:val="tx1"/>
            </w14:solidFill>
          </w14:textFill>
        </w:rPr>
        <w:t>响应文件递交截止时间后收到的任何响应文件。</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21.2</w:t>
      </w:r>
      <w:r>
        <w:rPr>
          <w:rFonts w:ascii="仿宋" w:hAnsi="仿宋" w:eastAsia="仿宋"/>
          <w:color w:val="000000" w:themeColor="text1"/>
          <w:sz w:val="24"/>
          <w:highlight w:val="none"/>
          <w14:textFill>
            <w14:solidFill>
              <w14:schemeClr w14:val="tx1"/>
            </w14:solidFill>
          </w14:textFill>
        </w:rPr>
        <w:t>采购代理机构对响应文件在送达过程中的遗失或损坏不负责</w:t>
      </w:r>
      <w:r>
        <w:rPr>
          <w:rFonts w:hint="eastAsia" w:ascii="宋体" w:hAnsi="宋体"/>
          <w:color w:val="000000" w:themeColor="text1"/>
          <w:sz w:val="24"/>
          <w:highlight w:val="none"/>
          <w14:textFill>
            <w14:solidFill>
              <w14:schemeClr w14:val="tx1"/>
            </w14:solidFill>
          </w14:textFill>
        </w:rPr>
        <w:t>。</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02" w:name="_Toc513029228"/>
      <w:bookmarkStart w:id="103" w:name="_Toc16938544"/>
      <w:bookmarkStart w:id="104" w:name="_Toc20823300"/>
      <w:r>
        <w:rPr>
          <w:rFonts w:ascii="仿宋" w:hAnsi="仿宋" w:eastAsia="仿宋"/>
          <w:bCs w:val="0"/>
          <w:color w:val="000000" w:themeColor="text1"/>
          <w:highlight w:val="none"/>
          <w14:textFill>
            <w14:solidFill>
              <w14:schemeClr w14:val="tx1"/>
            </w14:solidFill>
          </w14:textFill>
        </w:rPr>
        <w:t>22、响应文件的修改和撤回</w:t>
      </w:r>
      <w:bookmarkEnd w:id="102"/>
      <w:bookmarkEnd w:id="103"/>
      <w:bookmarkEnd w:id="104"/>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22.1 供应商在递交响应文件后，可以修改或撤回其响应文件，但这种修改和撤回，必须在规定的</w:t>
      </w:r>
      <w:r>
        <w:rPr>
          <w:rFonts w:hint="eastAsia" w:ascii="仿宋" w:hAnsi="仿宋" w:eastAsia="仿宋"/>
          <w:color w:val="000000" w:themeColor="text1"/>
          <w:sz w:val="24"/>
          <w:highlight w:val="none"/>
          <w14:textFill>
            <w14:solidFill>
              <w14:schemeClr w14:val="tx1"/>
            </w14:solidFill>
          </w14:textFill>
        </w:rPr>
        <w:t>响应文件递交</w:t>
      </w:r>
      <w:r>
        <w:rPr>
          <w:rFonts w:ascii="仿宋" w:hAnsi="仿宋" w:eastAsia="仿宋"/>
          <w:color w:val="000000" w:themeColor="text1"/>
          <w:sz w:val="24"/>
          <w:highlight w:val="none"/>
          <w14:textFill>
            <w14:solidFill>
              <w14:schemeClr w14:val="tx1"/>
            </w14:solidFill>
          </w14:textFill>
        </w:rPr>
        <w:t>响应文件递交截止时间前，以书面形式</w:t>
      </w:r>
      <w:r>
        <w:rPr>
          <w:rFonts w:hint="eastAsia" w:ascii="仿宋" w:hAnsi="仿宋" w:eastAsia="仿宋"/>
          <w:color w:val="000000" w:themeColor="text1"/>
          <w:sz w:val="24"/>
          <w:highlight w:val="none"/>
          <w14:textFill>
            <w14:solidFill>
              <w14:schemeClr w14:val="tx1"/>
            </w14:solidFill>
          </w14:textFill>
        </w:rPr>
        <w:t>并加盖供应商公章</w:t>
      </w:r>
      <w:r>
        <w:rPr>
          <w:rFonts w:ascii="仿宋" w:hAnsi="仿宋" w:eastAsia="仿宋"/>
          <w:color w:val="000000" w:themeColor="text1"/>
          <w:sz w:val="24"/>
          <w:highlight w:val="none"/>
          <w14:textFill>
            <w14:solidFill>
              <w14:schemeClr w14:val="tx1"/>
            </w14:solidFill>
          </w14:textFill>
        </w:rPr>
        <w:t>通知</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，修改或撤回其响应文件。</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22.2 供应商的修改或撤回文件应按规定进行编制、密封、标记和发送，并应在封套上加注</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修改</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和</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撤回</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字样。修改文件必须在</w:t>
      </w:r>
      <w:r>
        <w:rPr>
          <w:rFonts w:hint="eastAsia" w:ascii="仿宋" w:hAnsi="仿宋" w:eastAsia="仿宋"/>
          <w:color w:val="000000" w:themeColor="text1"/>
          <w:sz w:val="24"/>
          <w:highlight w:val="none"/>
          <w14:textFill>
            <w14:solidFill>
              <w14:schemeClr w14:val="tx1"/>
            </w14:solidFill>
          </w14:textFill>
        </w:rPr>
        <w:t>响应文件递交</w:t>
      </w:r>
      <w:r>
        <w:rPr>
          <w:rFonts w:ascii="仿宋" w:hAnsi="仿宋" w:eastAsia="仿宋"/>
          <w:color w:val="000000" w:themeColor="text1"/>
          <w:sz w:val="24"/>
          <w:highlight w:val="none"/>
          <w14:textFill>
            <w14:solidFill>
              <w14:schemeClr w14:val="tx1"/>
            </w14:solidFill>
          </w14:textFill>
        </w:rPr>
        <w:t>响应文件递交截止时间前送达</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22.3 在响应文件递交截止时间之后，供应商不得对其响应文件作任何修改。</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22.4 在响应文件递交截止时间至</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文件中规定的</w:t>
      </w:r>
      <w:r>
        <w:rPr>
          <w:rFonts w:hint="eastAsia" w:ascii="仿宋" w:hAnsi="仿宋" w:eastAsia="仿宋"/>
          <w:color w:val="000000" w:themeColor="text1"/>
          <w:sz w:val="24"/>
          <w:highlight w:val="none"/>
          <w14:textFill>
            <w14:solidFill>
              <w14:schemeClr w14:val="tx1"/>
            </w14:solidFill>
          </w14:textFill>
        </w:rPr>
        <w:t>响应文件</w:t>
      </w:r>
      <w:r>
        <w:rPr>
          <w:rFonts w:ascii="仿宋" w:hAnsi="仿宋" w:eastAsia="仿宋"/>
          <w:color w:val="000000" w:themeColor="text1"/>
          <w:sz w:val="24"/>
          <w:highlight w:val="none"/>
          <w14:textFill>
            <w14:solidFill>
              <w14:schemeClr w14:val="tx1"/>
            </w14:solidFill>
          </w14:textFill>
        </w:rPr>
        <w:t>有效期满之间的这段时间内，供应商不得撤回其投标。</w:t>
      </w:r>
    </w:p>
    <w:p>
      <w:pPr>
        <w:pStyle w:val="4"/>
        <w:spacing w:before="156" w:beforeLines="50" w:after="156" w:afterLines="50" w:line="360" w:lineRule="auto"/>
        <w:ind w:firstLine="482" w:firstLineChars="150"/>
        <w:rPr>
          <w:rFonts w:ascii="仿宋" w:hAnsi="仿宋" w:eastAsia="仿宋"/>
          <w:color w:val="000000" w:themeColor="text1"/>
          <w:sz w:val="32"/>
          <w:szCs w:val="22"/>
          <w:highlight w:val="none"/>
          <w:u w:val="none"/>
          <w14:textFill>
            <w14:solidFill>
              <w14:schemeClr w14:val="tx1"/>
            </w14:solidFill>
          </w14:textFill>
        </w:rPr>
      </w:pPr>
      <w:bookmarkStart w:id="105" w:name="_Toc513029229"/>
      <w:bookmarkStart w:id="106" w:name="_Toc16938545"/>
      <w:bookmarkStart w:id="107" w:name="_Toc20823301"/>
      <w:bookmarkStart w:id="108" w:name="_Toc120614218"/>
      <w:r>
        <w:rPr>
          <w:rFonts w:ascii="仿宋" w:hAnsi="仿宋" w:eastAsia="仿宋"/>
          <w:color w:val="000000" w:themeColor="text1"/>
          <w:sz w:val="32"/>
          <w:szCs w:val="22"/>
          <w:highlight w:val="none"/>
          <w:u w:val="none"/>
          <w14:textFill>
            <w14:solidFill>
              <w14:schemeClr w14:val="tx1"/>
            </w14:solidFill>
          </w14:textFill>
        </w:rPr>
        <w:t>五、</w:t>
      </w:r>
      <w:r>
        <w:rPr>
          <w:rFonts w:hint="eastAsia" w:ascii="仿宋" w:hAnsi="仿宋" w:eastAsia="仿宋"/>
          <w:color w:val="000000" w:themeColor="text1"/>
          <w:sz w:val="32"/>
          <w:szCs w:val="22"/>
          <w:highlight w:val="none"/>
          <w:u w:val="none"/>
          <w14:textFill>
            <w14:solidFill>
              <w14:schemeClr w14:val="tx1"/>
            </w14:solidFill>
          </w14:textFill>
        </w:rPr>
        <w:t>谈判</w:t>
      </w:r>
      <w:r>
        <w:rPr>
          <w:rFonts w:ascii="仿宋" w:hAnsi="仿宋" w:eastAsia="仿宋"/>
          <w:color w:val="000000" w:themeColor="text1"/>
          <w:sz w:val="32"/>
          <w:szCs w:val="22"/>
          <w:highlight w:val="none"/>
          <w:u w:val="none"/>
          <w14:textFill>
            <w14:solidFill>
              <w14:schemeClr w14:val="tx1"/>
            </w14:solidFill>
          </w14:textFill>
        </w:rPr>
        <w:t>与评</w:t>
      </w:r>
      <w:r>
        <w:rPr>
          <w:rFonts w:hint="eastAsia" w:ascii="仿宋" w:hAnsi="仿宋" w:eastAsia="仿宋"/>
          <w:color w:val="000000" w:themeColor="text1"/>
          <w:sz w:val="32"/>
          <w:szCs w:val="22"/>
          <w:highlight w:val="none"/>
          <w:u w:val="none"/>
          <w14:textFill>
            <w14:solidFill>
              <w14:schemeClr w14:val="tx1"/>
            </w14:solidFill>
          </w14:textFill>
        </w:rPr>
        <w:t>审</w:t>
      </w:r>
      <w:bookmarkEnd w:id="105"/>
      <w:bookmarkEnd w:id="106"/>
      <w:bookmarkEnd w:id="107"/>
      <w:bookmarkEnd w:id="108"/>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09" w:name="_Toc16938546"/>
      <w:bookmarkStart w:id="110" w:name="_Toc513029230"/>
      <w:bookmarkStart w:id="111" w:name="_Toc20823302"/>
      <w:r>
        <w:rPr>
          <w:rFonts w:ascii="仿宋" w:hAnsi="仿宋" w:eastAsia="仿宋"/>
          <w:bCs w:val="0"/>
          <w:color w:val="000000" w:themeColor="text1"/>
          <w:highlight w:val="none"/>
          <w14:textFill>
            <w14:solidFill>
              <w14:schemeClr w14:val="tx1"/>
            </w14:solidFill>
          </w14:textFill>
        </w:rPr>
        <w:t>23、</w:t>
      </w:r>
      <w:bookmarkEnd w:id="109"/>
      <w:bookmarkEnd w:id="110"/>
      <w:bookmarkEnd w:id="111"/>
      <w:r>
        <w:rPr>
          <w:rFonts w:hint="eastAsia" w:ascii="仿宋" w:hAnsi="仿宋" w:eastAsia="仿宋"/>
          <w:bCs w:val="0"/>
          <w:color w:val="000000" w:themeColor="text1"/>
          <w:highlight w:val="none"/>
          <w14:textFill>
            <w14:solidFill>
              <w14:schemeClr w14:val="tx1"/>
            </w14:solidFill>
          </w14:textFill>
        </w:rPr>
        <w:t>谈判</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采购代理机构按本须知规定的时间、地点主持竞争性谈判活动。谈判活动由采购代理机构、采购人、供应商代表及有关方面代表参加。</w:t>
      </w:r>
    </w:p>
    <w:p>
      <w:pPr>
        <w:spacing w:line="360" w:lineRule="auto"/>
        <w:ind w:firstLine="480" w:firstLineChars="200"/>
        <w:rPr>
          <w:rFonts w:ascii="仿宋" w:hAnsi="仿宋" w:eastAsia="仿宋"/>
          <w:b/>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3.2参加谈判的供应商法定代表人或授权委托代理人应携带本人身份证明签名报到，以证明其出席竞争性谈判活动。供应商法定代表人或授权委托代理人未准时参加谈判活动的视为自动放弃竞争性谈判，其响应文件将不予评审、不予退还。</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23.3现场由公证人员或供应商代表查验响应文件密封及签章情况。</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23.4谈判小组对供应商递交的响应文件进行审查，可根据评审情况分别对审查通过的供应商进行谈判。</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23.5视评审情况需要，供应商代表进行澄清、回复谈判小组的提问；</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23.6视评审情况需要，进行包括但不限于价格、技术以及售后服务等商务条款的商讨；</w:t>
      </w:r>
    </w:p>
    <w:p>
      <w:pPr>
        <w:spacing w:line="360" w:lineRule="auto"/>
        <w:ind w:firstLine="482"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23.7供应商最终填写报价（</w:t>
      </w:r>
      <w:r>
        <w:rPr>
          <w:rFonts w:hint="eastAsia" w:ascii="仿宋" w:hAnsi="仿宋" w:eastAsia="仿宋" w:cs="仿宋"/>
          <w:b/>
          <w:color w:val="000000" w:themeColor="text1"/>
          <w:sz w:val="24"/>
          <w:highlight w:val="none"/>
          <w14:textFill>
            <w14:solidFill>
              <w14:schemeClr w14:val="tx1"/>
            </w14:solidFill>
          </w14:textFill>
        </w:rPr>
        <w:t>至少二次，响应文件中的报价为首次报价</w:t>
      </w:r>
      <w:r>
        <w:rPr>
          <w:rFonts w:hint="eastAsia" w:ascii="仿宋" w:hAnsi="仿宋" w:eastAsia="仿宋"/>
          <w:b/>
          <w:bCs/>
          <w:color w:val="000000" w:themeColor="text1"/>
          <w:sz w:val="24"/>
          <w:highlight w:val="none"/>
          <w14:textFill>
            <w14:solidFill>
              <w14:schemeClr w14:val="tx1"/>
            </w14:solidFill>
          </w14:textFill>
        </w:rPr>
        <w:t>）、填写承诺函；</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23.8报价超预算者不成交；</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23.9谈判小组经过与供应商的谈判，根据供应商的承诺、响应程度和供应商的最终报价进行综合评审。</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23.10如谈判过程中出现本竞争性谈判文件未尽事宜，由谈判小组根据有关法律、法规以及项目实际情况讨论决定。</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12" w:name="_Toc20823303"/>
      <w:bookmarkStart w:id="113" w:name="_Toc16938547"/>
      <w:bookmarkStart w:id="114" w:name="_Toc513029231"/>
      <w:r>
        <w:rPr>
          <w:rFonts w:ascii="仿宋" w:hAnsi="仿宋" w:eastAsia="仿宋"/>
          <w:bCs w:val="0"/>
          <w:color w:val="000000" w:themeColor="text1"/>
          <w:highlight w:val="none"/>
          <w14:textFill>
            <w14:solidFill>
              <w14:schemeClr w14:val="tx1"/>
            </w14:solidFill>
          </w14:textFill>
        </w:rPr>
        <w:t>24、</w:t>
      </w:r>
      <w:r>
        <w:rPr>
          <w:rFonts w:hint="eastAsia" w:ascii="仿宋" w:hAnsi="仿宋" w:eastAsia="仿宋"/>
          <w:bCs w:val="0"/>
          <w:color w:val="000000" w:themeColor="text1"/>
          <w:highlight w:val="none"/>
          <w14:textFill>
            <w14:solidFill>
              <w14:schemeClr w14:val="tx1"/>
            </w14:solidFill>
          </w14:textFill>
        </w:rPr>
        <w:t>谈判小组</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 xml:space="preserve">24.1 </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将根据项目特点</w:t>
      </w:r>
      <w:r>
        <w:rPr>
          <w:rFonts w:hint="eastAsia" w:ascii="仿宋" w:hAnsi="仿宋" w:eastAsia="仿宋"/>
          <w:color w:val="000000" w:themeColor="text1"/>
          <w:sz w:val="24"/>
          <w:highlight w:val="none"/>
          <w14:textFill>
            <w14:solidFill>
              <w14:schemeClr w14:val="tx1"/>
            </w14:solidFill>
          </w14:textFill>
        </w:rPr>
        <w:t>和有关规定</w:t>
      </w:r>
      <w:r>
        <w:rPr>
          <w:rFonts w:ascii="仿宋" w:hAnsi="仿宋" w:eastAsia="仿宋"/>
          <w:color w:val="000000" w:themeColor="text1"/>
          <w:sz w:val="24"/>
          <w:highlight w:val="none"/>
          <w14:textFill>
            <w14:solidFill>
              <w14:schemeClr w14:val="tx1"/>
            </w14:solidFill>
          </w14:textFill>
        </w:rPr>
        <w:t>组建</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小组，由</w:t>
      </w:r>
      <w:r>
        <w:rPr>
          <w:rFonts w:hint="eastAsia" w:ascii="仿宋" w:hAnsi="仿宋" w:eastAsia="仿宋"/>
          <w:color w:val="000000" w:themeColor="text1"/>
          <w:sz w:val="24"/>
          <w:highlight w:val="none"/>
          <w14:textFill>
            <w14:solidFill>
              <w14:schemeClr w14:val="tx1"/>
            </w14:solidFill>
          </w14:textFill>
        </w:rPr>
        <w:t>采购人代表和有关专家组成</w:t>
      </w:r>
      <w:r>
        <w:rPr>
          <w:rFonts w:ascii="仿宋" w:hAnsi="仿宋" w:eastAsia="仿宋"/>
          <w:color w:val="000000" w:themeColor="text1"/>
          <w:sz w:val="24"/>
          <w:highlight w:val="none"/>
          <w14:textFill>
            <w14:solidFill>
              <w14:schemeClr w14:val="tx1"/>
            </w14:solidFill>
          </w14:textFill>
        </w:rPr>
        <w:t>，并独立开展评审工作。</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小组对响应文件进行审查、</w:t>
      </w:r>
      <w:r>
        <w:rPr>
          <w:rFonts w:hint="eastAsia" w:ascii="仿宋" w:hAnsi="仿宋" w:eastAsia="仿宋"/>
          <w:color w:val="000000" w:themeColor="text1"/>
          <w:sz w:val="24"/>
          <w:highlight w:val="none"/>
          <w14:textFill>
            <w14:solidFill>
              <w14:schemeClr w14:val="tx1"/>
            </w14:solidFill>
          </w14:textFill>
        </w:rPr>
        <w:t>澄清</w:t>
      </w:r>
      <w:r>
        <w:rPr>
          <w:rFonts w:ascii="仿宋" w:hAnsi="仿宋" w:eastAsia="仿宋"/>
          <w:color w:val="000000" w:themeColor="text1"/>
          <w:sz w:val="24"/>
          <w:highlight w:val="none"/>
          <w14:textFill>
            <w14:solidFill>
              <w14:schemeClr w14:val="tx1"/>
            </w14:solidFill>
          </w14:textFill>
        </w:rPr>
        <w:t>、评估、比较。</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24.2</w:t>
      </w:r>
      <w:r>
        <w:rPr>
          <w:rFonts w:hint="eastAsia" w:ascii="仿宋" w:hAnsi="仿宋" w:eastAsia="仿宋"/>
          <w:color w:val="000000" w:themeColor="text1"/>
          <w:sz w:val="24"/>
          <w:highlight w:val="none"/>
          <w14:textFill>
            <w14:solidFill>
              <w14:schemeClr w14:val="tx1"/>
            </w14:solidFill>
          </w14:textFill>
        </w:rPr>
        <w:t>采购人可以推荐代表参加谈判小组。但人数不得超过谈判小组成员总人数的三分之一。参加评审的采购人代表，必须向采购代理机构提交采购人代表身份授权函或证明。</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24.3</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小组应以科学、公正的态度参加评审工作并推荐成交候选人。评审专家在评审过程中不受任何干扰，独立、负责地提出评审意见，并对自己的评审意见承担责任。</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24.4</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小组将对供应商的商业、技术秘密予以保密。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24.5未经谈判小组批准，其他任何人员禁止进入评审现场。</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24.6 谈判小组成员负责具体的评审事务，并独立履行以下职责：</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24.6.1 审查、评价响应文件是否符合竞争性谈判文件的要求，并作出评价；</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24.6.2 要求供应商对响应文件有关事项作出澄清或者说明；</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24.6.3 对响应文件进行比较和评价；</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24.6.4 确定成交候选人名单，以及根据采购人委托直接确定成交供应商；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24.6.5 向采购人、采购代理机构或者有关部门报告评标中发现的违法行为。</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24.7 谈判小组成员应当履行下列义务：</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24.7.1 遵纪守法，客观、公正、廉洁地履行职责；</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24.7.2 按照竞争性谈判文件规定的评标办法进行评审，对评审意见承担个人责任；</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24.7.3 对评审过程和结果，以及供应商的商业秘密保密；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24.7.4 参与评审报告的起草；</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24.7.5 配合相关部门的投诉处理工作；</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24.7.6 配合采购代理机构答复供应商提出的质疑。</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ascii="仿宋" w:hAnsi="仿宋" w:eastAsia="仿宋"/>
          <w:bCs w:val="0"/>
          <w:color w:val="000000" w:themeColor="text1"/>
          <w:highlight w:val="none"/>
          <w14:textFill>
            <w14:solidFill>
              <w14:schemeClr w14:val="tx1"/>
            </w14:solidFill>
          </w14:textFill>
        </w:rPr>
        <w:t>25、</w:t>
      </w:r>
      <w:r>
        <w:rPr>
          <w:rFonts w:hint="eastAsia" w:ascii="仿宋" w:hAnsi="仿宋" w:eastAsia="仿宋"/>
          <w:bCs w:val="0"/>
          <w:color w:val="000000" w:themeColor="text1"/>
          <w:highlight w:val="none"/>
          <w14:textFill>
            <w14:solidFill>
              <w14:schemeClr w14:val="tx1"/>
            </w14:solidFill>
          </w14:textFill>
        </w:rPr>
        <w:t>谈判</w:t>
      </w:r>
      <w:r>
        <w:rPr>
          <w:rFonts w:ascii="仿宋" w:hAnsi="仿宋" w:eastAsia="仿宋"/>
          <w:bCs w:val="0"/>
          <w:color w:val="000000" w:themeColor="text1"/>
          <w:highlight w:val="none"/>
          <w14:textFill>
            <w14:solidFill>
              <w14:schemeClr w14:val="tx1"/>
            </w14:solidFill>
          </w14:textFill>
        </w:rPr>
        <w:t>过程的保密</w:t>
      </w:r>
      <w:bookmarkEnd w:id="112"/>
      <w:bookmarkEnd w:id="113"/>
      <w:bookmarkEnd w:id="114"/>
      <w:r>
        <w:rPr>
          <w:rFonts w:ascii="仿宋" w:hAnsi="仿宋" w:eastAsia="仿宋"/>
          <w:bCs w:val="0"/>
          <w:color w:val="000000" w:themeColor="text1"/>
          <w:highlight w:val="none"/>
          <w14:textFill>
            <w14:solidFill>
              <w14:schemeClr w14:val="tx1"/>
            </w14:solidFill>
          </w14:textFill>
        </w:rPr>
        <w:t>与公正</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25.1</w:t>
      </w:r>
      <w:r>
        <w:rPr>
          <w:rFonts w:hint="eastAsia" w:ascii="仿宋" w:hAnsi="仿宋" w:eastAsia="仿宋"/>
          <w:color w:val="000000" w:themeColor="text1"/>
          <w:sz w:val="24"/>
          <w:highlight w:val="none"/>
          <w14:textFill>
            <w14:solidFill>
              <w14:schemeClr w14:val="tx1"/>
            </w14:solidFill>
          </w14:textFill>
        </w:rPr>
        <w:t>竞争性谈判结束</w:t>
      </w:r>
      <w:r>
        <w:rPr>
          <w:rFonts w:ascii="仿宋" w:hAnsi="仿宋" w:eastAsia="仿宋"/>
          <w:color w:val="000000" w:themeColor="text1"/>
          <w:sz w:val="24"/>
          <w:highlight w:val="none"/>
          <w14:textFill>
            <w14:solidFill>
              <w14:schemeClr w14:val="tx1"/>
            </w14:solidFill>
          </w14:textFill>
        </w:rPr>
        <w:t>后，直至向</w:t>
      </w:r>
      <w:r>
        <w:rPr>
          <w:rFonts w:hint="eastAsia" w:ascii="仿宋" w:hAnsi="仿宋" w:eastAsia="仿宋"/>
          <w:color w:val="000000" w:themeColor="text1"/>
          <w:sz w:val="24"/>
          <w:highlight w:val="none"/>
          <w14:textFill>
            <w14:solidFill>
              <w14:schemeClr w14:val="tx1"/>
            </w14:solidFill>
          </w14:textFill>
        </w:rPr>
        <w:t>成交</w:t>
      </w:r>
      <w:r>
        <w:rPr>
          <w:rFonts w:ascii="仿宋" w:hAnsi="仿宋" w:eastAsia="仿宋"/>
          <w:color w:val="000000" w:themeColor="text1"/>
          <w:sz w:val="24"/>
          <w:highlight w:val="none"/>
          <w14:textFill>
            <w14:solidFill>
              <w14:schemeClr w14:val="tx1"/>
            </w14:solidFill>
          </w14:textFill>
        </w:rPr>
        <w:t>供应商授予合同时止，凡是与审查、澄清、评价和比较投标的有关资料以及授标建议等，均不得向供应商或与评审无关的其他人员透露。有关</w:t>
      </w:r>
      <w:r>
        <w:rPr>
          <w:rFonts w:hint="eastAsia" w:ascii="仿宋" w:hAnsi="仿宋" w:eastAsia="仿宋"/>
          <w:color w:val="000000" w:themeColor="text1"/>
          <w:sz w:val="24"/>
          <w:highlight w:val="none"/>
          <w14:textFill>
            <w14:solidFill>
              <w14:schemeClr w14:val="tx1"/>
            </w14:solidFill>
          </w14:textFill>
        </w:rPr>
        <w:t>成交</w:t>
      </w:r>
      <w:r>
        <w:rPr>
          <w:rFonts w:ascii="仿宋" w:hAnsi="仿宋" w:eastAsia="仿宋"/>
          <w:color w:val="000000" w:themeColor="text1"/>
          <w:sz w:val="24"/>
          <w:highlight w:val="none"/>
          <w14:textFill>
            <w14:solidFill>
              <w14:schemeClr w14:val="tx1"/>
            </w14:solidFill>
          </w14:textFill>
        </w:rPr>
        <w:t>信息，须经</w:t>
      </w:r>
      <w:r>
        <w:rPr>
          <w:rFonts w:hint="eastAsia" w:ascii="仿宋" w:hAnsi="仿宋" w:eastAsia="仿宋"/>
          <w:color w:val="000000" w:themeColor="text1"/>
          <w:sz w:val="24"/>
          <w:highlight w:val="none"/>
          <w14:textFill>
            <w14:solidFill>
              <w14:schemeClr w14:val="tx1"/>
            </w14:solidFill>
          </w14:textFill>
        </w:rPr>
        <w:t>竞争性谈判文件</w:t>
      </w:r>
      <w:r>
        <w:rPr>
          <w:rFonts w:ascii="仿宋" w:hAnsi="仿宋" w:eastAsia="仿宋"/>
          <w:color w:val="000000" w:themeColor="text1"/>
          <w:sz w:val="24"/>
          <w:highlight w:val="none"/>
          <w14:textFill>
            <w14:solidFill>
              <w14:schemeClr w14:val="tx1"/>
            </w14:solidFill>
          </w14:textFill>
        </w:rPr>
        <w:t>规定的程序报批后，由</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书面通知有关单位。</w:t>
      </w:r>
      <w:r>
        <w:rPr>
          <w:rFonts w:hint="eastAsia" w:ascii="仿宋" w:hAnsi="仿宋" w:eastAsia="仿宋"/>
          <w:color w:val="000000" w:themeColor="text1"/>
          <w:sz w:val="24"/>
          <w:highlight w:val="none"/>
          <w14:textFill>
            <w14:solidFill>
              <w14:schemeClr w14:val="tx1"/>
            </w14:solidFill>
          </w14:textFill>
        </w:rPr>
        <w:t>采购代理机构</w:t>
      </w:r>
      <w:r>
        <w:rPr>
          <w:rFonts w:ascii="仿宋" w:hAnsi="仿宋" w:eastAsia="仿宋"/>
          <w:color w:val="000000" w:themeColor="text1"/>
          <w:sz w:val="24"/>
          <w:highlight w:val="none"/>
          <w14:textFill>
            <w14:solidFill>
              <w14:schemeClr w14:val="tx1"/>
            </w14:solidFill>
          </w14:textFill>
        </w:rPr>
        <w:t>对除此以外的其他渠道得悉的任何信息都不承担责任，并保留对其信息来源追究的权力。</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25.2</w:t>
      </w:r>
      <w:r>
        <w:rPr>
          <w:rFonts w:hint="eastAsia" w:ascii="仿宋" w:hAnsi="仿宋" w:eastAsia="仿宋"/>
          <w:color w:val="000000" w:themeColor="text1"/>
          <w:sz w:val="24"/>
          <w:highlight w:val="none"/>
          <w14:textFill>
            <w14:solidFill>
              <w14:schemeClr w14:val="tx1"/>
            </w14:solidFill>
          </w14:textFill>
        </w:rPr>
        <w:t>在响应文件的审查、澄清、评价和比较以及授予合同的过程中，供应商试图向采购人、采购代理机构和谈判小组成员施加任何影响，都将会导致其投标被拒绝，</w:t>
      </w:r>
      <w:r>
        <w:rPr>
          <w:rFonts w:ascii="仿宋" w:hAnsi="仿宋" w:eastAsia="仿宋"/>
          <w:color w:val="000000" w:themeColor="text1"/>
          <w:sz w:val="24"/>
          <w:highlight w:val="none"/>
          <w14:textFill>
            <w14:solidFill>
              <w14:schemeClr w14:val="tx1"/>
            </w14:solidFill>
          </w14:textFill>
        </w:rPr>
        <w:t>并承担相应的法律责任</w:t>
      </w:r>
      <w:r>
        <w:rPr>
          <w:rFonts w:hint="eastAsia" w:ascii="仿宋" w:hAnsi="仿宋" w:eastAsia="仿宋"/>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25.3 在评审期间，采购代理机构将通过指定联络人（非谈判小组成员）与供应商进行联系。</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15" w:name="_Toc16938548"/>
      <w:bookmarkStart w:id="116" w:name="_Toc20823304"/>
      <w:bookmarkStart w:id="117" w:name="_Toc513029232"/>
      <w:r>
        <w:rPr>
          <w:rFonts w:ascii="仿宋" w:hAnsi="仿宋" w:eastAsia="仿宋"/>
          <w:bCs w:val="0"/>
          <w:color w:val="000000" w:themeColor="text1"/>
          <w:highlight w:val="none"/>
          <w14:textFill>
            <w14:solidFill>
              <w14:schemeClr w14:val="tx1"/>
            </w14:solidFill>
          </w14:textFill>
        </w:rPr>
        <w:t>26、</w:t>
      </w:r>
      <w:r>
        <w:rPr>
          <w:rFonts w:hint="eastAsia" w:ascii="仿宋" w:hAnsi="仿宋" w:eastAsia="仿宋"/>
          <w:bCs w:val="0"/>
          <w:color w:val="000000" w:themeColor="text1"/>
          <w:highlight w:val="none"/>
          <w14:textFill>
            <w14:solidFill>
              <w14:schemeClr w14:val="tx1"/>
            </w14:solidFill>
          </w14:textFill>
        </w:rPr>
        <w:t>谈判</w:t>
      </w:r>
      <w:r>
        <w:rPr>
          <w:rFonts w:ascii="仿宋" w:hAnsi="仿宋" w:eastAsia="仿宋"/>
          <w:bCs w:val="0"/>
          <w:color w:val="000000" w:themeColor="text1"/>
          <w:highlight w:val="none"/>
          <w14:textFill>
            <w14:solidFill>
              <w14:schemeClr w14:val="tx1"/>
            </w14:solidFill>
          </w14:textFill>
        </w:rPr>
        <w:t>的澄清</w:t>
      </w:r>
      <w:bookmarkEnd w:id="115"/>
      <w:bookmarkEnd w:id="116"/>
      <w:bookmarkEnd w:id="117"/>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26.1评审期间，为有助于对响应文件的审查、评价和比较，</w:t>
      </w:r>
      <w:r>
        <w:rPr>
          <w:rFonts w:hint="eastAsia" w:ascii="仿宋" w:hAnsi="仿宋" w:eastAsia="仿宋"/>
          <w:color w:val="000000" w:themeColor="text1"/>
          <w:sz w:val="24"/>
          <w:highlight w:val="none"/>
          <w14:textFill>
            <w14:solidFill>
              <w14:schemeClr w14:val="tx1"/>
            </w14:solidFill>
          </w14:textFill>
        </w:rPr>
        <w:t>谈判小组</w:t>
      </w:r>
      <w:r>
        <w:rPr>
          <w:rFonts w:ascii="仿宋" w:hAnsi="仿宋" w:eastAsia="仿宋"/>
          <w:color w:val="000000" w:themeColor="text1"/>
          <w:sz w:val="24"/>
          <w:highlight w:val="none"/>
          <w14:textFill>
            <w14:solidFill>
              <w14:schemeClr w14:val="tx1"/>
            </w14:solidFill>
          </w14:textFill>
        </w:rPr>
        <w:t>有权要求供应商对</w:t>
      </w:r>
      <w:r>
        <w:rPr>
          <w:rFonts w:hint="eastAsia" w:ascii="仿宋" w:hAnsi="仿宋" w:eastAsia="仿宋"/>
          <w:color w:val="000000" w:themeColor="text1"/>
          <w:sz w:val="24"/>
          <w:highlight w:val="none"/>
          <w14:textFill>
            <w14:solidFill>
              <w14:schemeClr w14:val="tx1"/>
            </w14:solidFill>
          </w14:textFill>
        </w:rPr>
        <w:t>响应文件</w:t>
      </w:r>
      <w:r>
        <w:rPr>
          <w:rFonts w:ascii="仿宋" w:hAnsi="仿宋" w:eastAsia="仿宋"/>
          <w:color w:val="000000" w:themeColor="text1"/>
          <w:sz w:val="24"/>
          <w:highlight w:val="none"/>
          <w14:textFill>
            <w14:solidFill>
              <w14:schemeClr w14:val="tx1"/>
            </w14:solidFill>
          </w14:textFill>
        </w:rPr>
        <w:t>中含义不明确的内容进行澄清。</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26.2供应商必须按照谈判小组通知的时间、地点派技术和商务人员进行答疑和澄清，书面澄清的内容须由供应商法定代表人或授权代表签署，并作为响应文件的补充部分，但实质性内容不得做任何更改。</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26.3 接到</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小组澄清要求的供应商如未按规定做出澄清，其风险由供应商自行承担。</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18" w:name="_Toc513029233"/>
      <w:bookmarkStart w:id="119" w:name="_Toc16938549"/>
      <w:bookmarkStart w:id="120" w:name="_Toc20823305"/>
      <w:r>
        <w:rPr>
          <w:rFonts w:ascii="仿宋" w:hAnsi="仿宋" w:eastAsia="仿宋"/>
          <w:bCs w:val="0"/>
          <w:color w:val="000000" w:themeColor="text1"/>
          <w:highlight w:val="none"/>
          <w14:textFill>
            <w14:solidFill>
              <w14:schemeClr w14:val="tx1"/>
            </w14:solidFill>
          </w14:textFill>
        </w:rPr>
        <w:t>2</w:t>
      </w:r>
      <w:r>
        <w:rPr>
          <w:rFonts w:hint="eastAsia" w:ascii="仿宋" w:hAnsi="仿宋" w:eastAsia="仿宋"/>
          <w:bCs w:val="0"/>
          <w:color w:val="000000" w:themeColor="text1"/>
          <w:highlight w:val="none"/>
          <w14:textFill>
            <w14:solidFill>
              <w14:schemeClr w14:val="tx1"/>
            </w14:solidFill>
          </w14:textFill>
        </w:rPr>
        <w:t>7</w:t>
      </w:r>
      <w:r>
        <w:rPr>
          <w:rFonts w:ascii="仿宋" w:hAnsi="仿宋" w:eastAsia="仿宋"/>
          <w:bCs w:val="0"/>
          <w:color w:val="000000" w:themeColor="text1"/>
          <w:highlight w:val="none"/>
          <w14:textFill>
            <w14:solidFill>
              <w14:schemeClr w14:val="tx1"/>
            </w14:solidFill>
          </w14:textFill>
        </w:rPr>
        <w:t>、对响应文件的</w:t>
      </w:r>
      <w:r>
        <w:rPr>
          <w:rFonts w:hint="eastAsia" w:ascii="仿宋" w:hAnsi="仿宋" w:eastAsia="仿宋"/>
          <w:bCs w:val="0"/>
          <w:color w:val="000000" w:themeColor="text1"/>
          <w:highlight w:val="none"/>
          <w14:textFill>
            <w14:solidFill>
              <w14:schemeClr w14:val="tx1"/>
            </w14:solidFill>
          </w14:textFill>
        </w:rPr>
        <w:t>审查</w:t>
      </w:r>
      <w:bookmarkEnd w:id="118"/>
      <w:bookmarkEnd w:id="119"/>
      <w:bookmarkEnd w:id="120"/>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7</w:t>
      </w:r>
      <w:r>
        <w:rPr>
          <w:rFonts w:ascii="仿宋" w:hAnsi="仿宋" w:eastAsia="仿宋"/>
          <w:color w:val="000000" w:themeColor="text1"/>
          <w:sz w:val="24"/>
          <w:highlight w:val="none"/>
          <w14:textFill>
            <w14:solidFill>
              <w14:schemeClr w14:val="tx1"/>
            </w14:solidFill>
          </w14:textFill>
        </w:rPr>
        <w:t>.1响应文件初审分为资格性检查和符合性检查。</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资格性检查：依据法律法规和</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文件的规定，对响应文件中的资格证明文件、进行审查，以确定供应商是否具备</w:t>
      </w:r>
      <w:r>
        <w:rPr>
          <w:rFonts w:hint="eastAsia" w:ascii="仿宋" w:hAnsi="仿宋" w:eastAsia="仿宋"/>
          <w:color w:val="000000" w:themeColor="text1"/>
          <w:sz w:val="24"/>
          <w:highlight w:val="none"/>
          <w14:textFill>
            <w14:solidFill>
              <w14:schemeClr w14:val="tx1"/>
            </w14:solidFill>
          </w14:textFill>
        </w:rPr>
        <w:t>参与竞争性谈判的</w:t>
      </w:r>
      <w:r>
        <w:rPr>
          <w:rFonts w:ascii="仿宋" w:hAnsi="仿宋" w:eastAsia="仿宋"/>
          <w:color w:val="000000" w:themeColor="text1"/>
          <w:sz w:val="24"/>
          <w:highlight w:val="none"/>
          <w14:textFill>
            <w14:solidFill>
              <w14:schemeClr w14:val="tx1"/>
            </w14:solidFill>
          </w14:textFill>
        </w:rPr>
        <w:t>资格。</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符合性检查：依据</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文件的规定，从响应文件的有效性、完整性和对</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文件的响应程度进行审查，以确定是否对</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文件的实质性要求作出响应。</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7</w:t>
      </w:r>
      <w:r>
        <w:rPr>
          <w:rFonts w:ascii="仿宋" w:hAnsi="仿宋" w:eastAsia="仿宋"/>
          <w:color w:val="000000" w:themeColor="text1"/>
          <w:sz w:val="24"/>
          <w:highlight w:val="none"/>
          <w14:textFill>
            <w14:solidFill>
              <w14:schemeClr w14:val="tx1"/>
            </w14:solidFill>
          </w14:textFill>
        </w:rPr>
        <w:t>.2在详细评审之前，</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小组将首先审查每份响应文件是否实质性响应了</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文件的要求。实质性响应是与</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文件要求的全部实质性条款、条件和规格相符且其余非实质性技术及商务条款没有重大偏离和保留。</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所谓重大偏离或保留是指与</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文件规定的主要技术指标或重要的商务条款或除上述以外的多项指标要求存在负偏离，或者在实质上与</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文件不一致，而且限制了合同中</w:t>
      </w:r>
      <w:r>
        <w:rPr>
          <w:rFonts w:hint="eastAsia" w:ascii="仿宋" w:hAnsi="仿宋" w:eastAsia="仿宋"/>
          <w:color w:val="000000" w:themeColor="text1"/>
          <w:sz w:val="24"/>
          <w:highlight w:val="none"/>
          <w14:textFill>
            <w14:solidFill>
              <w14:schemeClr w14:val="tx1"/>
            </w14:solidFill>
          </w14:textFill>
        </w:rPr>
        <w:t>采购单位</w:t>
      </w:r>
      <w:r>
        <w:rPr>
          <w:rFonts w:ascii="仿宋" w:hAnsi="仿宋" w:eastAsia="仿宋"/>
          <w:color w:val="000000" w:themeColor="text1"/>
          <w:sz w:val="24"/>
          <w:highlight w:val="none"/>
          <w14:textFill>
            <w14:solidFill>
              <w14:schemeClr w14:val="tx1"/>
            </w14:solidFill>
          </w14:textFill>
        </w:rPr>
        <w:t>的权利或供应商的义务，纠正这些偏离或保留将会对其他实质性响应要求的供应商的竞争地位产生不公正的影响。重大偏离的认定需经过</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小组三分之二及以上成员的认定。</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w:t>
      </w:r>
      <w:r>
        <w:rPr>
          <w:rFonts w:hint="eastAsia" w:ascii="仿宋" w:hAnsi="仿宋" w:eastAsia="仿宋"/>
          <w:color w:val="000000" w:themeColor="text1"/>
          <w:sz w:val="24"/>
          <w:highlight w:val="none"/>
          <w14:textFill>
            <w14:solidFill>
              <w14:schemeClr w14:val="tx1"/>
            </w14:solidFill>
          </w14:textFill>
        </w:rPr>
        <w:t>判断</w:t>
      </w:r>
      <w:r>
        <w:rPr>
          <w:rFonts w:ascii="仿宋" w:hAnsi="仿宋" w:eastAsia="仿宋"/>
          <w:color w:val="000000" w:themeColor="text1"/>
          <w:sz w:val="24"/>
          <w:highlight w:val="none"/>
          <w14:textFill>
            <w14:solidFill>
              <w14:schemeClr w14:val="tx1"/>
            </w14:solidFill>
          </w14:textFill>
        </w:rPr>
        <w:t>响应文件的响应性只根据响应文件本身的内容，而不寻求外部的证据。</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7</w:t>
      </w:r>
      <w:r>
        <w:rPr>
          <w:rFonts w:ascii="仿宋" w:hAnsi="仿宋" w:eastAsia="仿宋"/>
          <w:color w:val="000000" w:themeColor="text1"/>
          <w:sz w:val="24"/>
          <w:highlight w:val="none"/>
          <w14:textFill>
            <w14:solidFill>
              <w14:schemeClr w14:val="tx1"/>
            </w14:solidFill>
          </w14:textFill>
        </w:rPr>
        <w:t>.3如果响应文件实质上没有响应</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文件的要求，</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小组将予以拒绝，供应商不得通过修改或撤销不合要求的偏离或保留而使其成为实质性响应的投标。</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7</w:t>
      </w:r>
      <w:r>
        <w:rPr>
          <w:rFonts w:ascii="仿宋" w:hAnsi="仿宋" w:eastAsia="仿宋"/>
          <w:color w:val="000000" w:themeColor="text1"/>
          <w:sz w:val="24"/>
          <w:highlight w:val="none"/>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小组将对确定为实质性响应的</w:t>
      </w:r>
      <w:r>
        <w:rPr>
          <w:rFonts w:hint="eastAsia" w:ascii="仿宋" w:hAnsi="仿宋" w:eastAsia="仿宋"/>
          <w:color w:val="000000" w:themeColor="text1"/>
          <w:sz w:val="24"/>
          <w:highlight w:val="none"/>
          <w14:textFill>
            <w14:solidFill>
              <w14:schemeClr w14:val="tx1"/>
            </w14:solidFill>
          </w14:textFill>
        </w:rPr>
        <w:t>响应文件</w:t>
      </w:r>
      <w:r>
        <w:rPr>
          <w:rFonts w:ascii="仿宋" w:hAnsi="仿宋" w:eastAsia="仿宋"/>
          <w:color w:val="000000" w:themeColor="text1"/>
          <w:sz w:val="24"/>
          <w:highlight w:val="none"/>
          <w14:textFill>
            <w14:solidFill>
              <w14:schemeClr w14:val="tx1"/>
            </w14:solidFill>
          </w14:textFill>
        </w:rPr>
        <w:t>进行进一步审核，看其是否有计算上或累加上的算术错误，修正错误的原则如下：</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(1) 如果用数字表示的金额和用文字表示的金额不一致时，应以文字表示的金额为准进行修正；</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 当单价与数量的乘积和总价不一致时，以单价为准进行修正。只有在</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小组认为单价有明显的小数点错误时，才能以标出的总价为准，并修改单价；</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数量不符合竞争性谈判文件要求的作为未实质性响应竞争性谈判文件处理，该响应文件将不予以详细评审，也不得成交；</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(4)当分项报价与汇总总价不符时，以分项报价为准重新计算总价（总价已注明优惠的除外）。</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7</w:t>
      </w:r>
      <w:r>
        <w:rPr>
          <w:rFonts w:ascii="仿宋" w:hAnsi="仿宋" w:eastAsia="仿宋"/>
          <w:color w:val="000000" w:themeColor="text1"/>
          <w:sz w:val="24"/>
          <w:highlight w:val="none"/>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小组将按上述修正错误的方法调整响应文件中的报价，调整后的价格应对供应商具有约束力。如果供应商不接受修正后的价格，则其</w:t>
      </w:r>
      <w:r>
        <w:rPr>
          <w:rFonts w:hint="eastAsia" w:ascii="仿宋" w:hAnsi="仿宋" w:eastAsia="仿宋"/>
          <w:color w:val="000000" w:themeColor="text1"/>
          <w:sz w:val="24"/>
          <w:highlight w:val="none"/>
          <w14:textFill>
            <w14:solidFill>
              <w14:schemeClr w14:val="tx1"/>
            </w14:solidFill>
          </w14:textFill>
        </w:rPr>
        <w:t>响应文件</w:t>
      </w:r>
      <w:r>
        <w:rPr>
          <w:rFonts w:ascii="仿宋" w:hAnsi="仿宋" w:eastAsia="仿宋"/>
          <w:color w:val="000000" w:themeColor="text1"/>
          <w:sz w:val="24"/>
          <w:highlight w:val="none"/>
          <w14:textFill>
            <w14:solidFill>
              <w14:schemeClr w14:val="tx1"/>
            </w14:solidFill>
          </w14:textFill>
        </w:rPr>
        <w:t>将被拒绝。</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7</w:t>
      </w:r>
      <w:r>
        <w:rPr>
          <w:rFonts w:ascii="仿宋" w:hAnsi="仿宋" w:eastAsia="仿宋"/>
          <w:color w:val="000000" w:themeColor="text1"/>
          <w:sz w:val="24"/>
          <w:highlight w:val="none"/>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小组将允许修正响应文件中不构成重大偏离的、微小的、非正规的、不一致的或不规则的地方。</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21" w:name="_Toc20823306"/>
      <w:bookmarkStart w:id="122" w:name="_Toc513029234"/>
      <w:bookmarkStart w:id="123" w:name="_Toc16938550"/>
      <w:r>
        <w:rPr>
          <w:rFonts w:ascii="仿宋" w:hAnsi="仿宋" w:eastAsia="仿宋"/>
          <w:bCs w:val="0"/>
          <w:color w:val="000000" w:themeColor="text1"/>
          <w:highlight w:val="none"/>
          <w14:textFill>
            <w14:solidFill>
              <w14:schemeClr w14:val="tx1"/>
            </w14:solidFill>
          </w14:textFill>
        </w:rPr>
        <w:t>2</w:t>
      </w:r>
      <w:r>
        <w:rPr>
          <w:rFonts w:hint="eastAsia" w:ascii="仿宋" w:hAnsi="仿宋" w:eastAsia="仿宋"/>
          <w:bCs w:val="0"/>
          <w:color w:val="000000" w:themeColor="text1"/>
          <w:highlight w:val="none"/>
          <w14:textFill>
            <w14:solidFill>
              <w14:schemeClr w14:val="tx1"/>
            </w14:solidFill>
          </w14:textFill>
        </w:rPr>
        <w:t>8</w:t>
      </w:r>
      <w:r>
        <w:rPr>
          <w:rFonts w:ascii="仿宋" w:hAnsi="仿宋" w:eastAsia="仿宋"/>
          <w:bCs w:val="0"/>
          <w:color w:val="000000" w:themeColor="text1"/>
          <w:highlight w:val="none"/>
          <w14:textFill>
            <w14:solidFill>
              <w14:schemeClr w14:val="tx1"/>
            </w14:solidFill>
          </w14:textFill>
        </w:rPr>
        <w:t>、</w:t>
      </w:r>
      <w:bookmarkEnd w:id="121"/>
      <w:bookmarkEnd w:id="122"/>
      <w:bookmarkEnd w:id="123"/>
      <w:r>
        <w:rPr>
          <w:rFonts w:ascii="仿宋" w:hAnsi="仿宋" w:eastAsia="仿宋"/>
          <w:bCs w:val="0"/>
          <w:color w:val="000000" w:themeColor="text1"/>
          <w:highlight w:val="none"/>
          <w14:textFill>
            <w14:solidFill>
              <w14:schemeClr w14:val="tx1"/>
            </w14:solidFill>
          </w14:textFill>
        </w:rPr>
        <w:t>无效</w:t>
      </w:r>
      <w:r>
        <w:rPr>
          <w:rFonts w:hint="eastAsia" w:ascii="仿宋" w:hAnsi="仿宋" w:eastAsia="仿宋"/>
          <w:bCs w:val="0"/>
          <w:color w:val="000000" w:themeColor="text1"/>
          <w:highlight w:val="none"/>
          <w14:textFill>
            <w14:solidFill>
              <w14:schemeClr w14:val="tx1"/>
            </w14:solidFill>
          </w14:textFill>
        </w:rPr>
        <w:t>响应</w:t>
      </w:r>
      <w:r>
        <w:rPr>
          <w:rFonts w:ascii="仿宋" w:hAnsi="仿宋" w:eastAsia="仿宋"/>
          <w:bCs w:val="0"/>
          <w:color w:val="000000" w:themeColor="text1"/>
          <w:highlight w:val="none"/>
          <w14:textFill>
            <w14:solidFill>
              <w14:schemeClr w14:val="tx1"/>
            </w14:solidFill>
          </w14:textFill>
        </w:rPr>
        <w:t>条款和废标条款</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bookmarkStart w:id="124" w:name="_Toc20823307"/>
      <w:bookmarkStart w:id="125" w:name="_Toc513029235"/>
      <w:bookmarkStart w:id="126" w:name="_Toc16938551"/>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8</w:t>
      </w:r>
      <w:r>
        <w:rPr>
          <w:rFonts w:ascii="仿宋" w:hAnsi="仿宋" w:eastAsia="仿宋"/>
          <w:color w:val="000000" w:themeColor="text1"/>
          <w:sz w:val="24"/>
          <w:highlight w:val="none"/>
          <w14:textFill>
            <w14:solidFill>
              <w14:schemeClr w14:val="tx1"/>
            </w14:solidFill>
          </w14:textFill>
        </w:rPr>
        <w:t>.1无效</w:t>
      </w:r>
      <w:r>
        <w:rPr>
          <w:rFonts w:hint="eastAsia" w:ascii="仿宋" w:hAnsi="仿宋" w:eastAsia="仿宋"/>
          <w:color w:val="000000" w:themeColor="text1"/>
          <w:sz w:val="24"/>
          <w:highlight w:val="none"/>
          <w14:textFill>
            <w14:solidFill>
              <w14:schemeClr w14:val="tx1"/>
            </w14:solidFill>
          </w14:textFill>
        </w:rPr>
        <w:t>响应</w:t>
      </w:r>
      <w:r>
        <w:rPr>
          <w:rFonts w:ascii="仿宋" w:hAnsi="仿宋" w:eastAsia="仿宋"/>
          <w:color w:val="000000" w:themeColor="text1"/>
          <w:sz w:val="24"/>
          <w:highlight w:val="none"/>
          <w14:textFill>
            <w14:solidFill>
              <w14:schemeClr w14:val="tx1"/>
            </w14:solidFill>
          </w14:textFill>
        </w:rPr>
        <w:t>条款</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（1）供应商不具备竞争性谈判文件中规定资格要求的；</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（2）未按照竞争性谈判文件规定要求密封、无单位盖章、无法定代表人或授权代理人签字盖章的；</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（3）供应商在报价时采用选择性或是附有条件的报价；</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（4）经谈判小组认定与竞争性谈判文件有重大偏离；</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（5）响应文件的有效期不满足竞争性谈判文件要求的；</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（6）报价超过</w:t>
      </w:r>
      <w:r>
        <w:rPr>
          <w:rFonts w:hint="eastAsia" w:ascii="仿宋" w:hAnsi="仿宋" w:eastAsia="仿宋" w:cs="仿宋"/>
          <w:color w:val="000000" w:themeColor="text1"/>
          <w:sz w:val="24"/>
          <w:highlight w:val="none"/>
          <w14:textFill>
            <w14:solidFill>
              <w14:schemeClr w14:val="tx1"/>
            </w14:solidFill>
          </w14:textFill>
        </w:rPr>
        <w:t>规定的预算金额或者最高限价的</w:t>
      </w:r>
      <w:r>
        <w:rPr>
          <w:rFonts w:hint="eastAsia" w:ascii="仿宋" w:hAnsi="仿宋" w:eastAsia="仿宋"/>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（7）有下列情形之一的，视为供应商串通投标，其投标无效：</w:t>
      </w:r>
    </w:p>
    <w:p>
      <w:pPr>
        <w:spacing w:line="360" w:lineRule="auto"/>
        <w:ind w:firstLine="720" w:firstLineChars="3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① 不同供应商的响应文件由同一单位或者个人编制；</w:t>
      </w:r>
    </w:p>
    <w:p>
      <w:pPr>
        <w:spacing w:line="360" w:lineRule="auto"/>
        <w:ind w:firstLine="720" w:firstLineChars="3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② 不同供应商委托同一单位或者个人办理投标事宜；</w:t>
      </w:r>
    </w:p>
    <w:p>
      <w:pPr>
        <w:spacing w:line="360" w:lineRule="auto"/>
        <w:ind w:firstLine="720" w:firstLineChars="3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③ 不同供应商的响应文件载明的项目管理成员或者联系人员为同一人；</w:t>
      </w:r>
    </w:p>
    <w:p>
      <w:pPr>
        <w:spacing w:line="360" w:lineRule="auto"/>
        <w:ind w:firstLine="720" w:firstLineChars="3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④ 不同供应商的响应文件异常一致或者投标报价呈规律性差异；</w:t>
      </w:r>
    </w:p>
    <w:p>
      <w:pPr>
        <w:spacing w:line="360" w:lineRule="auto"/>
        <w:ind w:firstLine="720" w:firstLineChars="3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⑤ 不同供应商的响应文件相互混装；</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r>
        <w:rPr>
          <w:rFonts w:hint="eastAsia" w:ascii="仿宋" w:hAnsi="仿宋" w:eastAsia="仿宋"/>
          <w:color w:val="000000" w:themeColor="text1"/>
          <w:sz w:val="24"/>
          <w:highlight w:val="none"/>
          <w14:textFill>
            <w14:solidFill>
              <w14:schemeClr w14:val="tx1"/>
            </w14:solidFill>
          </w14:textFill>
        </w:rPr>
        <w:t>谈判</w:t>
      </w:r>
      <w:r>
        <w:rPr>
          <w:rFonts w:hint="eastAsia" w:ascii="仿宋" w:hAnsi="仿宋" w:eastAsia="仿宋" w:cs="仿宋"/>
          <w:bCs/>
          <w:color w:val="000000" w:themeColor="text1"/>
          <w:sz w:val="24"/>
          <w:highlight w:val="none"/>
          <w14:textFill>
            <w14:solidFill>
              <w14:schemeClr w14:val="tx1"/>
            </w14:solidFill>
          </w14:textFill>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投标处理。</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（9）响应文件含有采购人不能接受的附加条件的；</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w:t>
      </w:r>
      <w:r>
        <w:rPr>
          <w:rFonts w:hint="eastAsia" w:ascii="仿宋" w:hAnsi="仿宋" w:eastAsia="仿宋"/>
          <w:color w:val="000000" w:themeColor="text1"/>
          <w:sz w:val="24"/>
          <w:highlight w:val="none"/>
          <w14:textFill>
            <w14:solidFill>
              <w14:schemeClr w14:val="tx1"/>
            </w14:solidFill>
          </w14:textFill>
        </w:rPr>
        <w:t>被“信用中国”网站（WWW.creditchina.gov.cn）“中国政府采购网”网站（www.ccgp.gov.cn）列入失信被执行人、重大税收违法案件当事人名单、政府采购严重失信行为记录名单的；</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（11）竞争性谈判文件明确规定无效的其他情形；</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（12）其他被谈判小组认定无效的情况；</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（13）其他法律、法规及本竞争性谈判文件规定的属无效响应的情形。</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8</w:t>
      </w:r>
      <w:r>
        <w:rPr>
          <w:rFonts w:ascii="仿宋" w:hAnsi="仿宋" w:eastAsia="仿宋"/>
          <w:color w:val="000000" w:themeColor="text1"/>
          <w:sz w:val="24"/>
          <w:highlight w:val="none"/>
          <w14:textFill>
            <w14:solidFill>
              <w14:schemeClr w14:val="tx1"/>
            </w14:solidFill>
          </w14:textFill>
        </w:rPr>
        <w:t>.2废标条款：</w:t>
      </w:r>
    </w:p>
    <w:p>
      <w:pPr>
        <w:spacing w:line="360" w:lineRule="auto"/>
        <w:ind w:firstLine="480"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（1）因情况变化，不再符合规定的竞争性谈判适用情形的；</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（2）出现影响招标公正的违法、违规行为的；</w:t>
      </w:r>
    </w:p>
    <w:p>
      <w:pPr>
        <w:spacing w:line="360" w:lineRule="auto"/>
        <w:ind w:firstLine="480" w:firstLineChars="200"/>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（3）供应商的报价均超过了采购预算，采购人不能接受的；</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（4）因重大变故，招标任务取消的。</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27" w:name="_Toc120614219"/>
      <w:r>
        <w:rPr>
          <w:rFonts w:hint="eastAsia" w:ascii="仿宋" w:hAnsi="仿宋" w:eastAsia="仿宋"/>
          <w:bCs w:val="0"/>
          <w:color w:val="000000" w:themeColor="text1"/>
          <w:highlight w:val="none"/>
          <w14:textFill>
            <w14:solidFill>
              <w14:schemeClr w14:val="tx1"/>
            </w14:solidFill>
          </w14:textFill>
        </w:rPr>
        <w:t>29、</w:t>
      </w:r>
      <w:r>
        <w:rPr>
          <w:rFonts w:ascii="仿宋" w:hAnsi="仿宋" w:eastAsia="仿宋"/>
          <w:bCs w:val="0"/>
          <w:color w:val="000000" w:themeColor="text1"/>
          <w:highlight w:val="none"/>
          <w14:textFill>
            <w14:solidFill>
              <w14:schemeClr w14:val="tx1"/>
            </w14:solidFill>
          </w14:textFill>
        </w:rPr>
        <w:t>评审</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9</w:t>
      </w:r>
      <w:r>
        <w:rPr>
          <w:rFonts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小组将仅对按照本须知有关规定确定为实质上响应</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文件要求的响应文件进行评审。</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9</w:t>
      </w: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本项目评标办法采用最低评标价法，即在满足谈判文件实质性要求，并符合采购需求、质量和服务相等的前提下，以提出的供应商作为预成交供应商。向采购单位推荐成交候选供应商，并当场宣布预成交供应商。（详见第五章</w:t>
      </w:r>
      <w:r>
        <w:rPr>
          <w:rFonts w:ascii="仿宋" w:hAnsi="仿宋" w:eastAsia="仿宋"/>
          <w:color w:val="000000" w:themeColor="text1"/>
          <w:sz w:val="24"/>
          <w:highlight w:val="none"/>
          <w14:textFill>
            <w14:solidFill>
              <w14:schemeClr w14:val="tx1"/>
            </w14:solidFill>
          </w14:textFill>
        </w:rPr>
        <w:t>评标方法与评标标准</w:t>
      </w:r>
      <w:r>
        <w:rPr>
          <w:rFonts w:hint="eastAsia" w:ascii="仿宋" w:hAnsi="仿宋" w:eastAsia="仿宋"/>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bCs/>
          <w:color w:val="000000" w:themeColor="text1"/>
          <w:sz w:val="24"/>
          <w:highlight w:val="none"/>
          <w14:textFill>
            <w14:solidFill>
              <w14:schemeClr w14:val="tx1"/>
            </w14:solidFill>
          </w14:textFill>
        </w:rPr>
        <w:t>2</w:t>
      </w:r>
      <w:r>
        <w:rPr>
          <w:rFonts w:hint="eastAsia" w:ascii="仿宋" w:hAnsi="仿宋" w:eastAsia="仿宋"/>
          <w:bCs/>
          <w:color w:val="000000" w:themeColor="text1"/>
          <w:sz w:val="24"/>
          <w:highlight w:val="none"/>
          <w14:textFill>
            <w14:solidFill>
              <w14:schemeClr w14:val="tx1"/>
            </w14:solidFill>
          </w14:textFill>
        </w:rPr>
        <w:t>9</w:t>
      </w:r>
      <w:r>
        <w:rPr>
          <w:rFonts w:ascii="仿宋" w:hAnsi="仿宋" w:eastAsia="仿宋"/>
          <w:bCs/>
          <w:color w:val="000000" w:themeColor="text1"/>
          <w:sz w:val="24"/>
          <w:highlight w:val="none"/>
          <w14:textFill>
            <w14:solidFill>
              <w14:schemeClr w14:val="tx1"/>
            </w14:solidFill>
          </w14:textFill>
        </w:rPr>
        <w:t xml:space="preserve">.3 </w:t>
      </w:r>
      <w:r>
        <w:rPr>
          <w:rFonts w:hint="eastAsia" w:ascii="仿宋" w:hAnsi="仿宋" w:eastAsia="仿宋"/>
          <w:color w:val="000000" w:themeColor="text1"/>
          <w:sz w:val="24"/>
          <w:highlight w:val="none"/>
          <w14:textFill>
            <w14:solidFill>
              <w14:schemeClr w14:val="tx1"/>
            </w14:solidFill>
          </w14:textFill>
        </w:rPr>
        <w:t>谈判小组</w:t>
      </w:r>
      <w:r>
        <w:rPr>
          <w:rFonts w:ascii="仿宋" w:hAnsi="仿宋" w:eastAsia="仿宋"/>
          <w:color w:val="000000" w:themeColor="text1"/>
          <w:sz w:val="24"/>
          <w:highlight w:val="none"/>
          <w14:textFill>
            <w14:solidFill>
              <w14:schemeClr w14:val="tx1"/>
            </w14:solidFill>
          </w14:textFill>
        </w:rPr>
        <w:t>有权评定成交供应商</w:t>
      </w:r>
      <w:r>
        <w:rPr>
          <w:rFonts w:hint="eastAsia" w:ascii="仿宋" w:hAnsi="仿宋" w:eastAsia="仿宋"/>
          <w:color w:val="000000" w:themeColor="text1"/>
          <w:sz w:val="24"/>
          <w:highlight w:val="none"/>
          <w14:textFill>
            <w14:solidFill>
              <w14:schemeClr w14:val="tx1"/>
            </w14:solidFill>
          </w14:textFill>
        </w:rPr>
        <w:t>，同时也有权拒绝任何或所有供应商成交。同时，为维护国家利益，采购人在授予合同之前仍有选择或拒绝任何或全部投标的权力，且无须向受影响的供应商承担任何责任。</w:t>
      </w:r>
    </w:p>
    <w:p>
      <w:pPr>
        <w:pStyle w:val="4"/>
        <w:spacing w:before="156" w:beforeLines="50" w:after="156" w:afterLines="50" w:line="360" w:lineRule="auto"/>
        <w:ind w:firstLine="482" w:firstLineChars="150"/>
        <w:rPr>
          <w:rFonts w:ascii="仿宋" w:hAnsi="仿宋" w:eastAsia="仿宋"/>
          <w:color w:val="000000" w:themeColor="text1"/>
          <w:sz w:val="32"/>
          <w:szCs w:val="22"/>
          <w:highlight w:val="none"/>
          <w:u w:val="none"/>
          <w14:textFill>
            <w14:solidFill>
              <w14:schemeClr w14:val="tx1"/>
            </w14:solidFill>
          </w14:textFill>
        </w:rPr>
      </w:pPr>
      <w:r>
        <w:rPr>
          <w:rFonts w:ascii="仿宋" w:hAnsi="仿宋" w:eastAsia="仿宋"/>
          <w:color w:val="000000" w:themeColor="text1"/>
          <w:sz w:val="32"/>
          <w:szCs w:val="22"/>
          <w:highlight w:val="none"/>
          <w:u w:val="none"/>
          <w14:textFill>
            <w14:solidFill>
              <w14:schemeClr w14:val="tx1"/>
            </w14:solidFill>
          </w14:textFill>
        </w:rPr>
        <w:t>六、定标</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hint="eastAsia" w:ascii="仿宋" w:hAnsi="仿宋" w:eastAsia="仿宋"/>
          <w:bCs w:val="0"/>
          <w:color w:val="000000" w:themeColor="text1"/>
          <w:highlight w:val="none"/>
          <w14:textFill>
            <w14:solidFill>
              <w14:schemeClr w14:val="tx1"/>
            </w14:solidFill>
          </w14:textFill>
        </w:rPr>
        <w:t>30</w:t>
      </w:r>
      <w:r>
        <w:rPr>
          <w:rFonts w:ascii="仿宋" w:hAnsi="仿宋" w:eastAsia="仿宋"/>
          <w:bCs w:val="0"/>
          <w:color w:val="000000" w:themeColor="text1"/>
          <w:highlight w:val="none"/>
          <w14:textFill>
            <w14:solidFill>
              <w14:schemeClr w14:val="tx1"/>
            </w14:solidFill>
          </w14:textFill>
        </w:rPr>
        <w:t>、确定</w:t>
      </w:r>
      <w:r>
        <w:rPr>
          <w:rFonts w:hint="eastAsia" w:ascii="仿宋" w:hAnsi="仿宋" w:eastAsia="仿宋"/>
          <w:bCs w:val="0"/>
          <w:color w:val="000000" w:themeColor="text1"/>
          <w:highlight w:val="none"/>
          <w14:textFill>
            <w14:solidFill>
              <w14:schemeClr w14:val="tx1"/>
            </w14:solidFill>
          </w14:textFill>
        </w:rPr>
        <w:t>预成交供应商</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30</w:t>
      </w:r>
      <w:r>
        <w:rPr>
          <w:rFonts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谈判</w:t>
      </w:r>
      <w:r>
        <w:rPr>
          <w:rFonts w:ascii="仿宋" w:hAnsi="仿宋" w:eastAsia="仿宋"/>
          <w:color w:val="000000" w:themeColor="text1"/>
          <w:sz w:val="24"/>
          <w:highlight w:val="none"/>
          <w14:textFill>
            <w14:solidFill>
              <w14:schemeClr w14:val="tx1"/>
            </w14:solidFill>
          </w14:textFill>
        </w:rPr>
        <w:t>小组根据本</w:t>
      </w:r>
      <w:r>
        <w:rPr>
          <w:rFonts w:hint="eastAsia" w:ascii="仿宋" w:hAnsi="仿宋" w:eastAsia="仿宋"/>
          <w:color w:val="000000" w:themeColor="text1"/>
          <w:sz w:val="24"/>
          <w:highlight w:val="none"/>
          <w14:textFill>
            <w14:solidFill>
              <w14:schemeClr w14:val="tx1"/>
            </w14:solidFill>
          </w14:textFill>
        </w:rPr>
        <w:t>竞争性谈判</w:t>
      </w:r>
      <w:r>
        <w:rPr>
          <w:rFonts w:ascii="仿宋" w:hAnsi="仿宋" w:eastAsia="仿宋"/>
          <w:color w:val="000000" w:themeColor="text1"/>
          <w:sz w:val="24"/>
          <w:highlight w:val="none"/>
          <w14:textFill>
            <w14:solidFill>
              <w14:schemeClr w14:val="tx1"/>
            </w14:solidFill>
          </w14:textFill>
        </w:rPr>
        <w:t>文件规定评分办法与评分标准向</w:t>
      </w:r>
      <w:r>
        <w:rPr>
          <w:rFonts w:hint="eastAsia" w:ascii="仿宋" w:hAnsi="仿宋" w:eastAsia="仿宋"/>
          <w:color w:val="000000" w:themeColor="text1"/>
          <w:sz w:val="24"/>
          <w:highlight w:val="none"/>
          <w14:textFill>
            <w14:solidFill>
              <w14:schemeClr w14:val="tx1"/>
            </w14:solidFill>
          </w14:textFill>
        </w:rPr>
        <w:t>采购人</w:t>
      </w:r>
      <w:r>
        <w:rPr>
          <w:rFonts w:ascii="仿宋" w:hAnsi="仿宋" w:eastAsia="仿宋"/>
          <w:color w:val="000000" w:themeColor="text1"/>
          <w:sz w:val="24"/>
          <w:highlight w:val="none"/>
          <w14:textFill>
            <w14:solidFill>
              <w14:schemeClr w14:val="tx1"/>
            </w14:solidFill>
          </w14:textFill>
        </w:rPr>
        <w:t>推荐成交候选人。</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30</w:t>
      </w:r>
      <w:r>
        <w:rPr>
          <w:rFonts w:ascii="仿宋" w:hAnsi="仿宋" w:eastAsia="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采购人应当自收到评标报告之日起５个工作日内，在评标报告确定的</w:t>
      </w:r>
      <w:r>
        <w:rPr>
          <w:rFonts w:hint="eastAsia" w:ascii="仿宋" w:hAnsi="仿宋" w:eastAsia="仿宋"/>
          <w:color w:val="000000" w:themeColor="text1"/>
          <w:sz w:val="24"/>
          <w:highlight w:val="none"/>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候选人名单中按顺序确定</w:t>
      </w:r>
      <w:r>
        <w:rPr>
          <w:rFonts w:hint="eastAsia" w:ascii="仿宋" w:hAnsi="仿宋" w:eastAsia="仿宋"/>
          <w:color w:val="000000" w:themeColor="text1"/>
          <w:sz w:val="24"/>
          <w:highlight w:val="none"/>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。采购人在收到评标报告5个工作日内未按评标报告推荐的</w:t>
      </w:r>
      <w:r>
        <w:rPr>
          <w:rFonts w:hint="eastAsia" w:ascii="仿宋" w:hAnsi="仿宋" w:eastAsia="仿宋"/>
          <w:color w:val="000000" w:themeColor="text1"/>
          <w:sz w:val="24"/>
          <w:highlight w:val="none"/>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候选人顺序确定</w:t>
      </w:r>
      <w:r>
        <w:rPr>
          <w:rFonts w:hint="eastAsia" w:ascii="仿宋" w:hAnsi="仿宋" w:eastAsia="仿宋"/>
          <w:color w:val="000000" w:themeColor="text1"/>
          <w:sz w:val="24"/>
          <w:highlight w:val="none"/>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，又不能说明合法理由的，视同按评标报告推荐的顺序确定排名第一的</w:t>
      </w:r>
      <w:r>
        <w:rPr>
          <w:rFonts w:hint="eastAsia" w:ascii="仿宋" w:hAnsi="仿宋" w:eastAsia="仿宋"/>
          <w:color w:val="000000" w:themeColor="text1"/>
          <w:sz w:val="24"/>
          <w:highlight w:val="none"/>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候选人为</w:t>
      </w:r>
      <w:r>
        <w:rPr>
          <w:rFonts w:hint="eastAsia" w:ascii="仿宋" w:hAnsi="仿宋" w:eastAsia="仿宋"/>
          <w:color w:val="000000" w:themeColor="text1"/>
          <w:sz w:val="24"/>
          <w:highlight w:val="none"/>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。采购人也可以事前授权评委会直接确定预</w:t>
      </w:r>
      <w:r>
        <w:rPr>
          <w:rFonts w:hint="eastAsia" w:ascii="仿宋" w:hAnsi="仿宋" w:eastAsia="仿宋"/>
          <w:color w:val="000000" w:themeColor="text1"/>
          <w:sz w:val="24"/>
          <w:highlight w:val="none"/>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30</w:t>
      </w: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预成交供应商确定</w:t>
      </w:r>
      <w:r>
        <w:rPr>
          <w:rFonts w:ascii="仿宋" w:hAnsi="仿宋" w:eastAsia="仿宋"/>
          <w:color w:val="000000" w:themeColor="text1"/>
          <w:sz w:val="24"/>
          <w:highlight w:val="none"/>
          <w14:textFill>
            <w14:solidFill>
              <w14:schemeClr w14:val="tx1"/>
            </w14:solidFill>
          </w14:textFill>
        </w:rPr>
        <w:t>后，</w:t>
      </w:r>
      <w:r>
        <w:rPr>
          <w:rFonts w:hint="eastAsia" w:ascii="仿宋" w:hAnsi="仿宋" w:eastAsia="仿宋"/>
          <w:color w:val="000000" w:themeColor="text1"/>
          <w:sz w:val="24"/>
          <w:highlight w:val="none"/>
          <w14:textFill>
            <w14:solidFill>
              <w14:schemeClr w14:val="tx1"/>
            </w14:solidFill>
          </w14:textFill>
        </w:rPr>
        <w:t>采购代理机构将预成交供应商、预成交金额、评委名单等信息</w:t>
      </w:r>
      <w:r>
        <w:rPr>
          <w:rFonts w:ascii="仿宋" w:hAnsi="仿宋" w:eastAsia="仿宋"/>
          <w:color w:val="000000" w:themeColor="text1"/>
          <w:sz w:val="24"/>
          <w:highlight w:val="none"/>
          <w14:textFill>
            <w14:solidFill>
              <w14:schemeClr w14:val="tx1"/>
            </w14:solidFill>
          </w14:textFill>
        </w:rPr>
        <w:t>在</w:t>
      </w:r>
      <w:r>
        <w:rPr>
          <w:rFonts w:hint="eastAsia" w:ascii="仿宋" w:hAnsi="仿宋" w:eastAsia="仿宋"/>
          <w:color w:val="000000" w:themeColor="text1"/>
          <w:sz w:val="24"/>
          <w:highlight w:val="none"/>
          <w14:textFill>
            <w14:solidFill>
              <w14:schemeClr w14:val="tx1"/>
            </w14:solidFill>
          </w14:textFill>
        </w:rPr>
        <w:t>相关媒体网站</w:t>
      </w:r>
      <w:r>
        <w:rPr>
          <w:rFonts w:ascii="仿宋" w:hAnsi="仿宋" w:eastAsia="仿宋"/>
          <w:color w:val="000000" w:themeColor="text1"/>
          <w:sz w:val="24"/>
          <w:highlight w:val="none"/>
          <w14:textFill>
            <w14:solidFill>
              <w14:schemeClr w14:val="tx1"/>
            </w14:solidFill>
          </w14:textFill>
        </w:rPr>
        <w:t>进行公示，公示时间为</w:t>
      </w:r>
      <w:r>
        <w:rPr>
          <w:rFonts w:hint="eastAsia" w:ascii="仿宋" w:hAnsi="仿宋" w:eastAsia="仿宋"/>
          <w:color w:val="000000" w:themeColor="text1"/>
          <w:sz w:val="24"/>
          <w:highlight w:val="none"/>
          <w14:textFill>
            <w14:solidFill>
              <w14:schemeClr w14:val="tx1"/>
            </w14:solidFill>
          </w14:textFill>
        </w:rPr>
        <w:t>1</w:t>
      </w:r>
      <w:r>
        <w:rPr>
          <w:rFonts w:ascii="仿宋" w:hAnsi="仿宋" w:eastAsia="仿宋"/>
          <w:color w:val="000000" w:themeColor="text1"/>
          <w:sz w:val="24"/>
          <w:highlight w:val="none"/>
          <w14:textFill>
            <w14:solidFill>
              <w14:schemeClr w14:val="tx1"/>
            </w14:solidFill>
          </w14:textFill>
        </w:rPr>
        <w:t>个工作日。</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ascii="仿宋" w:hAnsi="仿宋" w:eastAsia="仿宋"/>
          <w:bCs w:val="0"/>
          <w:color w:val="000000" w:themeColor="text1"/>
          <w:highlight w:val="none"/>
          <w14:textFill>
            <w14:solidFill>
              <w14:schemeClr w14:val="tx1"/>
            </w14:solidFill>
          </w14:textFill>
        </w:rPr>
        <w:t>3</w:t>
      </w:r>
      <w:r>
        <w:rPr>
          <w:rFonts w:hint="eastAsia" w:ascii="仿宋" w:hAnsi="仿宋" w:eastAsia="仿宋"/>
          <w:bCs w:val="0"/>
          <w:color w:val="000000" w:themeColor="text1"/>
          <w:highlight w:val="none"/>
          <w14:textFill>
            <w14:solidFill>
              <w14:schemeClr w14:val="tx1"/>
            </w14:solidFill>
          </w14:textFill>
        </w:rPr>
        <w:t>1</w:t>
      </w:r>
      <w:r>
        <w:rPr>
          <w:rFonts w:ascii="仿宋" w:hAnsi="仿宋" w:eastAsia="仿宋"/>
          <w:bCs w:val="0"/>
          <w:color w:val="000000" w:themeColor="text1"/>
          <w:highlight w:val="none"/>
          <w14:textFill>
            <w14:solidFill>
              <w14:schemeClr w14:val="tx1"/>
            </w14:solidFill>
          </w14:textFill>
        </w:rPr>
        <w:t>、质疑处理</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31.1供应商认为谈判文件、谈判过程、中标或者成交结果使自己的权益受到损害的，可以在知道或者应知其权益受到损害之日起七个工作日内，以书面形式向采购人、采购代理机构提出，并必须在上述规定期限内一次性提出针对同一采购程序环节的质疑，同时出具相关必要证明（证据）材料。 </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31.2提出质疑的供应商应当是参与所质疑项目招标活动的供应商。</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31.3供应商提出质疑应当提交质疑函和必要的证明材料。质疑函应当包括下列内容：</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（一）供应商的姓名或者名称、地址、邮编、联系人及联系电话；</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（二）质疑项目的名称、编号；</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（三）具体、明确的质疑事项和与质疑事项相关的请求；</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（四）事实依据；</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（五）必要的法律依据；</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（六）提出质疑的日期。</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供应商为自然人的，应当由本人签字；供应商为法人或者其他组织的，应当由法定代表人、主要负责人签字或者盖章，并加盖公章，不得加盖合同专用章、投标专用章等各种形式的专用章。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供应商可以委托代理人进行质疑，应当提交供应商签字盖章的授权委托书，授权委托书应当载明代理人的姓名或者名称、代理事项、具体权限、期限和相关事项。</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31.4以联合体形式参加政府采购活动的，其投诉应当由组成联合体的所有供应商共同提出。</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31.5供应商未在第31.1条规定的时限内向招标代理机构提出质疑、质疑不符合第31.1至第31.4条规定的将被视为无效质疑，采购代理机构不予受理。</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31.6在有效质疑期内，若质疑仅是对谈判文件设置的资质、条件、技术要求、商务条款、评标办法（评分标准）等内容的，因该等质疑的设置已在本章节第7条（谈判文件的澄清）中予以设定，此时不再作为有效质疑被审查。</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31.7采购代理机构将在收到谈判供应商的书面质疑后七个工作日内作出答复，但答复的内容不得涉及商业秘密。</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31.8被质疑的供应商应当配合招标代理机构对质疑内容调查取证，并提供所需的相关资料，否则，视同质疑成立。</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31.9在有效质疑期内，如有参加谈判的供应商提出有效质疑，并因此可能对成交结果产生影响，而最终被取消成交的，采购代理机构对成交单位不承担任何责任。</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31.10若异议供应商对采购代理机构答复不满意的，双方应通过友好协商解决；协商不成的，可向常州仲裁委员会申请仲裁。</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31.11供应商提出书面质疑必须有理、有据，不得恶意质疑或提交虚假质疑。否则，一经查实，采购代理机构有权依据规定报请行业监管部门对该供应商进行相应的行政处罚。</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r>
        <w:rPr>
          <w:rFonts w:ascii="仿宋" w:hAnsi="仿宋" w:eastAsia="仿宋"/>
          <w:bCs w:val="0"/>
          <w:color w:val="000000" w:themeColor="text1"/>
          <w:highlight w:val="none"/>
          <w14:textFill>
            <w14:solidFill>
              <w14:schemeClr w14:val="tx1"/>
            </w14:solidFill>
          </w14:textFill>
        </w:rPr>
        <w:t>3</w:t>
      </w:r>
      <w:r>
        <w:rPr>
          <w:rFonts w:hint="eastAsia" w:ascii="仿宋" w:hAnsi="仿宋" w:eastAsia="仿宋"/>
          <w:bCs w:val="0"/>
          <w:color w:val="000000" w:themeColor="text1"/>
          <w:highlight w:val="none"/>
          <w14:textFill>
            <w14:solidFill>
              <w14:schemeClr w14:val="tx1"/>
            </w14:solidFill>
          </w14:textFill>
        </w:rPr>
        <w:t>2</w:t>
      </w:r>
      <w:r>
        <w:rPr>
          <w:rFonts w:ascii="仿宋" w:hAnsi="仿宋" w:eastAsia="仿宋"/>
          <w:bCs w:val="0"/>
          <w:color w:val="000000" w:themeColor="text1"/>
          <w:highlight w:val="none"/>
          <w14:textFill>
            <w14:solidFill>
              <w14:schemeClr w14:val="tx1"/>
            </w14:solidFill>
          </w14:textFill>
        </w:rPr>
        <w:t>、成交通知书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2</w:t>
      </w:r>
      <w:r>
        <w:rPr>
          <w:rFonts w:ascii="仿宋" w:hAnsi="仿宋" w:eastAsia="仿宋"/>
          <w:color w:val="000000" w:themeColor="text1"/>
          <w:sz w:val="24"/>
          <w:highlight w:val="none"/>
          <w14:textFill>
            <w14:solidFill>
              <w14:schemeClr w14:val="tx1"/>
            </w14:solidFill>
          </w14:textFill>
        </w:rPr>
        <w:t xml:space="preserve">.l </w:t>
      </w:r>
      <w:r>
        <w:rPr>
          <w:rFonts w:hint="eastAsia" w:ascii="仿宋" w:hAnsi="仿宋" w:eastAsia="仿宋" w:cs="仿宋"/>
          <w:color w:val="000000" w:themeColor="text1"/>
          <w:sz w:val="24"/>
          <w:highlight w:val="none"/>
          <w14:textFill>
            <w14:solidFill>
              <w14:schemeClr w14:val="tx1"/>
            </w14:solidFill>
          </w14:textFill>
        </w:rPr>
        <w:t>预成交公告发布后，招标代理机构将向成交供应商发出成交通知书。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2</w:t>
      </w:r>
      <w:r>
        <w:rPr>
          <w:rFonts w:ascii="仿宋" w:hAnsi="仿宋" w:eastAsia="仿宋"/>
          <w:color w:val="000000" w:themeColor="text1"/>
          <w:sz w:val="24"/>
          <w:highlight w:val="none"/>
          <w14:textFill>
            <w14:solidFill>
              <w14:schemeClr w14:val="tx1"/>
            </w14:solidFill>
          </w14:textFill>
        </w:rPr>
        <w:t>.2 成交通知书将是合同的一个组成部分。对</w:t>
      </w:r>
      <w:r>
        <w:rPr>
          <w:rFonts w:hint="eastAsia" w:ascii="仿宋" w:hAnsi="仿宋" w:eastAsia="仿宋"/>
          <w:color w:val="000000" w:themeColor="text1"/>
          <w:sz w:val="24"/>
          <w:highlight w:val="none"/>
          <w14:textFill>
            <w14:solidFill>
              <w14:schemeClr w14:val="tx1"/>
            </w14:solidFill>
          </w14:textFill>
        </w:rPr>
        <w:t>采购人</w:t>
      </w:r>
      <w:r>
        <w:rPr>
          <w:rFonts w:ascii="仿宋" w:hAnsi="仿宋" w:eastAsia="仿宋"/>
          <w:color w:val="000000" w:themeColor="text1"/>
          <w:sz w:val="24"/>
          <w:highlight w:val="none"/>
          <w14:textFill>
            <w14:solidFill>
              <w14:schemeClr w14:val="tx1"/>
            </w14:solidFill>
          </w14:textFill>
        </w:rPr>
        <w:t>和</w:t>
      </w:r>
      <w:r>
        <w:rPr>
          <w:rFonts w:hint="eastAsia" w:ascii="仿宋" w:hAnsi="仿宋" w:eastAsia="仿宋"/>
          <w:color w:val="000000" w:themeColor="text1"/>
          <w:sz w:val="24"/>
          <w:highlight w:val="none"/>
          <w14:textFill>
            <w14:solidFill>
              <w14:schemeClr w14:val="tx1"/>
            </w14:solidFill>
          </w14:textFill>
        </w:rPr>
        <w:t>成交供应商</w:t>
      </w:r>
      <w:r>
        <w:rPr>
          <w:rFonts w:ascii="仿宋" w:hAnsi="仿宋" w:eastAsia="仿宋"/>
          <w:color w:val="000000" w:themeColor="text1"/>
          <w:sz w:val="24"/>
          <w:highlight w:val="none"/>
          <w14:textFill>
            <w14:solidFill>
              <w14:schemeClr w14:val="tx1"/>
            </w14:solidFill>
          </w14:textFill>
        </w:rPr>
        <w:t>均具有法律效力。成交通知书发出后，</w:t>
      </w:r>
      <w:r>
        <w:rPr>
          <w:rFonts w:hint="eastAsia" w:ascii="仿宋" w:hAnsi="仿宋" w:eastAsia="仿宋"/>
          <w:color w:val="000000" w:themeColor="text1"/>
          <w:sz w:val="24"/>
          <w:highlight w:val="none"/>
          <w14:textFill>
            <w14:solidFill>
              <w14:schemeClr w14:val="tx1"/>
            </w14:solidFill>
          </w14:textFill>
        </w:rPr>
        <w:t>采购人</w:t>
      </w:r>
      <w:r>
        <w:rPr>
          <w:rFonts w:hint="eastAsia" w:ascii="仿宋" w:hAnsi="仿宋" w:eastAsia="仿宋" w:cs="仿宋"/>
          <w:color w:val="000000" w:themeColor="text1"/>
          <w:sz w:val="24"/>
          <w:highlight w:val="none"/>
          <w14:textFill>
            <w14:solidFill>
              <w14:schemeClr w14:val="tx1"/>
            </w14:solidFill>
          </w14:textFill>
        </w:rPr>
        <w:t>不得违法改变成交结果，</w:t>
      </w:r>
      <w:r>
        <w:rPr>
          <w:rFonts w:hint="eastAsia" w:ascii="仿宋" w:hAnsi="仿宋" w:eastAsia="仿宋"/>
          <w:color w:val="000000" w:themeColor="text1"/>
          <w:sz w:val="24"/>
          <w:highlight w:val="none"/>
          <w14:textFill>
            <w14:solidFill>
              <w14:schemeClr w14:val="tx1"/>
            </w14:solidFill>
          </w14:textFill>
        </w:rPr>
        <w:t>成交供应商</w:t>
      </w:r>
      <w:r>
        <w:rPr>
          <w:rFonts w:hint="eastAsia" w:ascii="仿宋" w:hAnsi="仿宋" w:eastAsia="仿宋" w:cs="仿宋"/>
          <w:color w:val="000000" w:themeColor="text1"/>
          <w:sz w:val="24"/>
          <w:highlight w:val="none"/>
          <w14:textFill>
            <w14:solidFill>
              <w14:schemeClr w14:val="tx1"/>
            </w14:solidFill>
          </w14:textFill>
        </w:rPr>
        <w:t>无正当理由不得放弃中标，且不影响其成交服务费的支付。</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2</w:t>
      </w: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采购代理机构及采购人对未成交供应商不承担解释其未成交原因的义务。</w:t>
      </w:r>
    </w:p>
    <w:p>
      <w:pPr>
        <w:pStyle w:val="4"/>
        <w:spacing w:before="156" w:beforeLines="50" w:after="156" w:afterLines="50" w:line="360" w:lineRule="auto"/>
        <w:ind w:firstLine="482" w:firstLineChars="150"/>
        <w:rPr>
          <w:rFonts w:ascii="仿宋" w:hAnsi="仿宋" w:eastAsia="仿宋"/>
          <w:color w:val="000000" w:themeColor="text1"/>
          <w:sz w:val="32"/>
          <w:szCs w:val="22"/>
          <w:highlight w:val="none"/>
          <w:u w:val="none"/>
          <w14:textFill>
            <w14:solidFill>
              <w14:schemeClr w14:val="tx1"/>
            </w14:solidFill>
          </w14:textFill>
        </w:rPr>
      </w:pPr>
      <w:r>
        <w:rPr>
          <w:rFonts w:ascii="仿宋" w:hAnsi="仿宋" w:eastAsia="仿宋"/>
          <w:color w:val="000000" w:themeColor="text1"/>
          <w:sz w:val="32"/>
          <w:szCs w:val="22"/>
          <w:highlight w:val="none"/>
          <w:u w:val="none"/>
          <w14:textFill>
            <w14:solidFill>
              <w14:schemeClr w14:val="tx1"/>
            </w14:solidFill>
          </w14:textFill>
        </w:rPr>
        <w:t>七、授予合同</w:t>
      </w:r>
    </w:p>
    <w:p>
      <w:pPr>
        <w:pStyle w:val="5"/>
        <w:spacing w:before="0" w:after="0" w:line="360" w:lineRule="auto"/>
        <w:ind w:firstLine="422" w:firstLineChars="150"/>
        <w:rPr>
          <w:rFonts w:ascii="仿宋" w:hAnsi="仿宋" w:eastAsia="仿宋"/>
          <w:bCs w:val="0"/>
          <w:color w:val="000000" w:themeColor="text1"/>
          <w:highlight w:val="none"/>
          <w14:textFill>
            <w14:solidFill>
              <w14:schemeClr w14:val="tx1"/>
            </w14:solidFill>
          </w14:textFill>
        </w:rPr>
      </w:pPr>
      <w:bookmarkStart w:id="128" w:name="_Toc16938553"/>
      <w:bookmarkStart w:id="129" w:name="_Toc513029237"/>
      <w:bookmarkStart w:id="130" w:name="_Toc20823309"/>
      <w:r>
        <w:rPr>
          <w:rFonts w:ascii="仿宋" w:hAnsi="仿宋" w:eastAsia="仿宋"/>
          <w:bCs w:val="0"/>
          <w:color w:val="000000" w:themeColor="text1"/>
          <w:highlight w:val="none"/>
          <w14:textFill>
            <w14:solidFill>
              <w14:schemeClr w14:val="tx1"/>
            </w14:solidFill>
          </w14:textFill>
        </w:rPr>
        <w:t>3</w:t>
      </w:r>
      <w:r>
        <w:rPr>
          <w:rFonts w:hint="eastAsia" w:ascii="仿宋" w:hAnsi="仿宋" w:eastAsia="仿宋"/>
          <w:bCs w:val="0"/>
          <w:color w:val="000000" w:themeColor="text1"/>
          <w:highlight w:val="none"/>
          <w14:textFill>
            <w14:solidFill>
              <w14:schemeClr w14:val="tx1"/>
            </w14:solidFill>
          </w14:textFill>
        </w:rPr>
        <w:t>3</w:t>
      </w:r>
      <w:r>
        <w:rPr>
          <w:rFonts w:ascii="仿宋" w:hAnsi="仿宋" w:eastAsia="仿宋"/>
          <w:bCs w:val="0"/>
          <w:color w:val="000000" w:themeColor="text1"/>
          <w:highlight w:val="none"/>
          <w14:textFill>
            <w14:solidFill>
              <w14:schemeClr w14:val="tx1"/>
            </w14:solidFill>
          </w14:textFill>
        </w:rPr>
        <w:t>、签订合同</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.l</w:t>
      </w:r>
      <w:r>
        <w:rPr>
          <w:rFonts w:hint="eastAsia" w:ascii="仿宋" w:hAnsi="仿宋" w:eastAsia="仿宋"/>
          <w:color w:val="000000" w:themeColor="text1"/>
          <w:sz w:val="24"/>
          <w:highlight w:val="none"/>
          <w14:textFill>
            <w14:solidFill>
              <w14:schemeClr w14:val="tx1"/>
            </w14:solidFill>
          </w14:textFill>
        </w:rPr>
        <w:t>采购人和成交供应商应当自成交通知书发出之日起三十日内，按照竞争性谈判文件和成交供应商的响应文件订立书面合同。采购人和成交供应商不得再行订立背离合同实质性内容的其他协议。</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 xml:space="preserve">.2 </w:t>
      </w:r>
      <w:r>
        <w:rPr>
          <w:rFonts w:hint="eastAsia" w:ascii="仿宋" w:hAnsi="仿宋" w:eastAsia="仿宋"/>
          <w:color w:val="000000" w:themeColor="text1"/>
          <w:sz w:val="24"/>
          <w:highlight w:val="none"/>
          <w14:textFill>
            <w14:solidFill>
              <w14:schemeClr w14:val="tx1"/>
            </w14:solidFill>
          </w14:textFill>
        </w:rPr>
        <w:t>签订合同及合同条款应以竞争性谈判</w:t>
      </w:r>
      <w:r>
        <w:rPr>
          <w:rFonts w:ascii="仿宋" w:hAnsi="仿宋" w:eastAsia="仿宋"/>
          <w:color w:val="000000" w:themeColor="text1"/>
          <w:sz w:val="24"/>
          <w:highlight w:val="none"/>
          <w14:textFill>
            <w14:solidFill>
              <w14:schemeClr w14:val="tx1"/>
            </w14:solidFill>
          </w14:textFill>
        </w:rPr>
        <w:t>文件、成交供应商的响应文件及招标过程中有关澄清、承诺文件</w:t>
      </w:r>
      <w:r>
        <w:rPr>
          <w:rFonts w:hint="eastAsia" w:ascii="仿宋" w:hAnsi="仿宋" w:eastAsia="仿宋"/>
          <w:color w:val="000000" w:themeColor="text1"/>
          <w:sz w:val="24"/>
          <w:highlight w:val="none"/>
          <w14:textFill>
            <w14:solidFill>
              <w14:schemeClr w14:val="tx1"/>
            </w14:solidFill>
          </w14:textFill>
        </w:rPr>
        <w:t>为依据</w:t>
      </w:r>
      <w:r>
        <w:rPr>
          <w:rFonts w:ascii="仿宋" w:hAnsi="仿宋" w:eastAsia="仿宋"/>
          <w:color w:val="000000" w:themeColor="text1"/>
          <w:sz w:val="24"/>
          <w:highlight w:val="none"/>
          <w14:textFill>
            <w14:solidFill>
              <w14:schemeClr w14:val="tx1"/>
            </w14:solidFill>
          </w14:textFill>
        </w:rPr>
        <w:t>。</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.3 签订合同后，成交供应商不得将</w:t>
      </w:r>
      <w:r>
        <w:rPr>
          <w:rFonts w:hint="eastAsia" w:ascii="仿宋" w:hAnsi="仿宋" w:eastAsia="仿宋"/>
          <w:color w:val="000000" w:themeColor="text1"/>
          <w:sz w:val="24"/>
          <w:highlight w:val="none"/>
          <w14:textFill>
            <w14:solidFill>
              <w14:schemeClr w14:val="tx1"/>
            </w14:solidFill>
          </w14:textFill>
        </w:rPr>
        <w:t>合同</w:t>
      </w:r>
      <w:r>
        <w:rPr>
          <w:rFonts w:ascii="仿宋" w:hAnsi="仿宋" w:eastAsia="仿宋"/>
          <w:color w:val="000000" w:themeColor="text1"/>
          <w:sz w:val="24"/>
          <w:highlight w:val="none"/>
          <w14:textFill>
            <w14:solidFill>
              <w14:schemeClr w14:val="tx1"/>
            </w14:solidFill>
          </w14:textFill>
        </w:rPr>
        <w:t>相关服务进行转包。未经</w:t>
      </w:r>
      <w:r>
        <w:rPr>
          <w:rFonts w:hint="eastAsia" w:ascii="仿宋" w:hAnsi="仿宋" w:eastAsia="仿宋"/>
          <w:color w:val="000000" w:themeColor="text1"/>
          <w:sz w:val="24"/>
          <w:highlight w:val="none"/>
          <w14:textFill>
            <w14:solidFill>
              <w14:schemeClr w14:val="tx1"/>
            </w14:solidFill>
          </w14:textFill>
        </w:rPr>
        <w:t>采购人</w:t>
      </w:r>
      <w:r>
        <w:rPr>
          <w:rFonts w:ascii="仿宋" w:hAnsi="仿宋" w:eastAsia="仿宋"/>
          <w:color w:val="000000" w:themeColor="text1"/>
          <w:sz w:val="24"/>
          <w:highlight w:val="none"/>
          <w14:textFill>
            <w14:solidFill>
              <w14:schemeClr w14:val="tx1"/>
            </w14:solidFill>
          </w14:textFill>
        </w:rPr>
        <w:t>同意，成交供应商也不得采用分包的形式履行合同，否则</w:t>
      </w:r>
      <w:r>
        <w:rPr>
          <w:rFonts w:hint="eastAsia" w:ascii="仿宋" w:hAnsi="仿宋" w:eastAsia="仿宋"/>
          <w:color w:val="000000" w:themeColor="text1"/>
          <w:sz w:val="24"/>
          <w:highlight w:val="none"/>
          <w14:textFill>
            <w14:solidFill>
              <w14:schemeClr w14:val="tx1"/>
            </w14:solidFill>
          </w14:textFill>
        </w:rPr>
        <w:t>采购人</w:t>
      </w:r>
      <w:r>
        <w:rPr>
          <w:rFonts w:ascii="仿宋" w:hAnsi="仿宋" w:eastAsia="仿宋"/>
          <w:color w:val="000000" w:themeColor="text1"/>
          <w:sz w:val="24"/>
          <w:highlight w:val="none"/>
          <w14:textFill>
            <w14:solidFill>
              <w14:schemeClr w14:val="tx1"/>
            </w14:solidFill>
          </w14:textFill>
        </w:rPr>
        <w:t>有权终止合同，成交供应商的履约保证金将不予退还。转包或分包造成</w:t>
      </w:r>
      <w:r>
        <w:rPr>
          <w:rFonts w:hint="eastAsia" w:ascii="仿宋" w:hAnsi="仿宋" w:eastAsia="仿宋"/>
          <w:color w:val="000000" w:themeColor="text1"/>
          <w:sz w:val="24"/>
          <w:highlight w:val="none"/>
          <w14:textFill>
            <w14:solidFill>
              <w14:schemeClr w14:val="tx1"/>
            </w14:solidFill>
          </w14:textFill>
        </w:rPr>
        <w:t>采购人</w:t>
      </w:r>
      <w:r>
        <w:rPr>
          <w:rFonts w:ascii="仿宋" w:hAnsi="仿宋" w:eastAsia="仿宋"/>
          <w:color w:val="000000" w:themeColor="text1"/>
          <w:sz w:val="24"/>
          <w:highlight w:val="none"/>
          <w14:textFill>
            <w14:solidFill>
              <w14:schemeClr w14:val="tx1"/>
            </w14:solidFill>
          </w14:textFill>
        </w:rPr>
        <w:t>损失的，成交供应商应承担相应赔偿责任。</w:t>
      </w:r>
    </w:p>
    <w:p>
      <w:pPr>
        <w:spacing w:line="360" w:lineRule="auto"/>
        <w:ind w:firstLine="480" w:firstLineChars="20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33.</w:t>
      </w:r>
      <w:r>
        <w:rPr>
          <w:rFonts w:ascii="仿宋" w:hAnsi="仿宋" w:eastAsia="仿宋"/>
          <w:color w:val="000000" w:themeColor="text1"/>
          <w:sz w:val="24"/>
          <w:highlight w:val="none"/>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成交供应商未按期签订合同的，采购人可以与排位在成交供应商之后第一位的成交候选人签订合同或重新委托进行招标：</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33.</w:t>
      </w:r>
      <w:r>
        <w:rPr>
          <w:rFonts w:ascii="仿宋" w:hAnsi="仿宋" w:eastAsia="仿宋"/>
          <w:color w:val="000000" w:themeColor="text1"/>
          <w:sz w:val="24"/>
          <w:highlight w:val="none"/>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.1成交供应商因不可抗力导致无法按期签订合同的，应当在不可抗力发生之日起5日内提出，并提供书面证据，采购人及成交供应商互不承担任何责任及损失。</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33.</w:t>
      </w:r>
      <w:r>
        <w:rPr>
          <w:rFonts w:ascii="仿宋" w:hAnsi="仿宋" w:eastAsia="仿宋"/>
          <w:color w:val="000000" w:themeColor="text1"/>
          <w:sz w:val="24"/>
          <w:highlight w:val="none"/>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.2成交供应商无正当理由未在规定的时间内与采购人签订合同的，视为自动放弃中标资格</w:t>
      </w:r>
      <w:r>
        <w:rPr>
          <w:rFonts w:ascii="仿宋" w:hAnsi="仿宋" w:eastAsia="仿宋"/>
          <w:color w:val="000000" w:themeColor="text1"/>
          <w:sz w:val="24"/>
          <w:highlight w:val="none"/>
          <w14:textFill>
            <w14:solidFill>
              <w14:schemeClr w14:val="tx1"/>
            </w14:solidFill>
          </w14:textFill>
        </w:rPr>
        <w:t>，由此给</w:t>
      </w:r>
      <w:r>
        <w:rPr>
          <w:rFonts w:hint="eastAsia" w:ascii="仿宋" w:hAnsi="仿宋" w:eastAsia="仿宋"/>
          <w:color w:val="000000" w:themeColor="text1"/>
          <w:sz w:val="24"/>
          <w:highlight w:val="none"/>
          <w14:textFill>
            <w14:solidFill>
              <w14:schemeClr w14:val="tx1"/>
            </w14:solidFill>
          </w14:textFill>
        </w:rPr>
        <w:t>采购人</w:t>
      </w:r>
      <w:r>
        <w:rPr>
          <w:rFonts w:ascii="仿宋" w:hAnsi="仿宋" w:eastAsia="仿宋"/>
          <w:color w:val="000000" w:themeColor="text1"/>
          <w:sz w:val="24"/>
          <w:highlight w:val="none"/>
          <w14:textFill>
            <w14:solidFill>
              <w14:schemeClr w14:val="tx1"/>
            </w14:solidFill>
          </w14:textFill>
        </w:rPr>
        <w:t>造成损失的，成交供应商还应承担赔偿责任。</w:t>
      </w:r>
    </w:p>
    <w:bookmarkEnd w:id="124"/>
    <w:bookmarkEnd w:id="125"/>
    <w:bookmarkEnd w:id="126"/>
    <w:bookmarkEnd w:id="127"/>
    <w:bookmarkEnd w:id="128"/>
    <w:bookmarkEnd w:id="129"/>
    <w:bookmarkEnd w:id="130"/>
    <w:p>
      <w:pPr>
        <w:pStyle w:val="24"/>
        <w:ind w:firstLine="400"/>
        <w:rPr>
          <w:color w:val="000000" w:themeColor="text1"/>
          <w:highlight w:val="none"/>
          <w14:textFill>
            <w14:solidFill>
              <w14:schemeClr w14:val="tx1"/>
            </w14:solidFill>
          </w14:textFill>
        </w:rPr>
      </w:pPr>
      <w:bookmarkStart w:id="131" w:name="_Toc463253083"/>
      <w:bookmarkStart w:id="132" w:name="_Toc401414766"/>
    </w:p>
    <w:p>
      <w:pPr>
        <w:spacing w:line="360" w:lineRule="auto"/>
        <w:jc w:val="center"/>
        <w:outlineLvl w:val="0"/>
        <w:rPr>
          <w:rFonts w:hint="eastAsia" w:ascii="仿宋" w:hAnsi="仿宋" w:eastAsia="仿宋"/>
          <w:b/>
          <w:color w:val="000000" w:themeColor="text1"/>
          <w:sz w:val="44"/>
          <w:szCs w:val="21"/>
          <w:highlight w:val="none"/>
          <w14:textFill>
            <w14:solidFill>
              <w14:schemeClr w14:val="tx1"/>
            </w14:solidFill>
          </w14:textFill>
        </w:rPr>
      </w:pPr>
    </w:p>
    <w:p>
      <w:pPr>
        <w:spacing w:line="360" w:lineRule="auto"/>
        <w:jc w:val="center"/>
        <w:outlineLvl w:val="0"/>
        <w:rPr>
          <w:rFonts w:ascii="仿宋" w:hAnsi="仿宋" w:eastAsia="仿宋"/>
          <w:b/>
          <w:color w:val="000000" w:themeColor="text1"/>
          <w:sz w:val="44"/>
          <w:szCs w:val="21"/>
          <w:highlight w:val="none"/>
          <w14:textFill>
            <w14:solidFill>
              <w14:schemeClr w14:val="tx1"/>
            </w14:solidFill>
          </w14:textFill>
        </w:rPr>
      </w:pPr>
      <w:r>
        <w:rPr>
          <w:rFonts w:hint="eastAsia" w:ascii="仿宋" w:hAnsi="仿宋" w:eastAsia="仿宋"/>
          <w:b/>
          <w:color w:val="000000" w:themeColor="text1"/>
          <w:sz w:val="44"/>
          <w:szCs w:val="21"/>
          <w:highlight w:val="none"/>
          <w14:textFill>
            <w14:solidFill>
              <w14:schemeClr w14:val="tx1"/>
            </w14:solidFill>
          </w14:textFill>
        </w:rPr>
        <w:t>第三章  项目需求</w:t>
      </w:r>
    </w:p>
    <w:bookmarkEnd w:id="131"/>
    <w:bookmarkEnd w:id="132"/>
    <w:p>
      <w:pPr>
        <w:spacing w:line="360" w:lineRule="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一、采购清单</w:t>
      </w:r>
    </w:p>
    <w:tbl>
      <w:tblPr>
        <w:tblStyle w:val="25"/>
        <w:tblW w:w="938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01"/>
        <w:gridCol w:w="3495"/>
        <w:gridCol w:w="2235"/>
        <w:gridCol w:w="275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6" w:hRule="atLeast"/>
          <w:jc w:val="center"/>
        </w:trPr>
        <w:tc>
          <w:tcPr>
            <w:tcW w:w="901" w:type="dxa"/>
            <w:tcBorders>
              <w:bottom w:val="single" w:color="auto" w:sz="4" w:space="0"/>
              <w:right w:val="single" w:color="000000" w:sz="4" w:space="0"/>
            </w:tcBorders>
            <w:shd w:val="clear" w:color="auto" w:fill="auto"/>
            <w:vAlign w:val="center"/>
          </w:tcPr>
          <w:p>
            <w:pPr>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序号</w:t>
            </w:r>
          </w:p>
        </w:tc>
        <w:tc>
          <w:tcPr>
            <w:tcW w:w="3495" w:type="dxa"/>
            <w:tcBorders>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项目名称</w:t>
            </w:r>
          </w:p>
        </w:tc>
        <w:tc>
          <w:tcPr>
            <w:tcW w:w="2235" w:type="dxa"/>
            <w:tcBorders>
              <w:left w:val="single" w:color="000000" w:sz="4" w:space="0"/>
              <w:bottom w:val="single" w:color="auto" w:sz="4" w:space="0"/>
              <w:right w:val="single" w:color="000000" w:sz="4" w:space="0"/>
            </w:tcBorders>
            <w:shd w:val="clear" w:color="auto" w:fill="auto"/>
            <w:vAlign w:val="center"/>
          </w:tcPr>
          <w:p>
            <w:pPr>
              <w:tabs>
                <w:tab w:val="left" w:pos="4788"/>
              </w:tabs>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预算金额（万元）</w:t>
            </w:r>
          </w:p>
        </w:tc>
        <w:tc>
          <w:tcPr>
            <w:tcW w:w="2757" w:type="dxa"/>
            <w:tcBorders>
              <w:left w:val="single" w:color="000000" w:sz="4" w:space="0"/>
              <w:bottom w:val="single" w:color="auto" w:sz="4" w:space="0"/>
            </w:tcBorders>
            <w:shd w:val="clear" w:color="auto" w:fill="auto"/>
            <w:vAlign w:val="center"/>
          </w:tcPr>
          <w:p>
            <w:pPr>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合同履行期限（交货期）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4" w:hRule="atLeast"/>
          <w:jc w:val="center"/>
        </w:trPr>
        <w:tc>
          <w:tcPr>
            <w:tcW w:w="901" w:type="dxa"/>
            <w:tcBorders>
              <w:top w:val="single" w:color="auto" w:sz="4" w:space="0"/>
              <w:bottom w:val="single" w:color="auto" w:sz="4" w:space="0"/>
              <w:right w:val="single" w:color="000000" w:sz="4" w:space="0"/>
            </w:tcBorders>
            <w:shd w:val="clear" w:color="auto" w:fill="auto"/>
            <w:vAlign w:val="center"/>
          </w:tcPr>
          <w:p>
            <w:pPr>
              <w:tabs>
                <w:tab w:val="left" w:pos="4788"/>
              </w:tabs>
              <w:spacing w:line="360" w:lineRule="auto"/>
              <w:jc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1</w:t>
            </w:r>
          </w:p>
        </w:tc>
        <w:tc>
          <w:tcPr>
            <w:tcW w:w="3495" w:type="dxa"/>
            <w:tcBorders>
              <w:top w:val="single" w:color="auto" w:sz="4" w:space="0"/>
              <w:left w:val="single" w:color="000000" w:sz="4" w:space="0"/>
              <w:bottom w:val="single" w:color="auto" w:sz="4" w:space="0"/>
              <w:right w:val="single" w:color="000000" w:sz="4" w:space="0"/>
            </w:tcBorders>
            <w:shd w:val="clear" w:color="auto" w:fill="auto"/>
            <w:vAlign w:val="center"/>
          </w:tcPr>
          <w:p>
            <w:pPr>
              <w:tabs>
                <w:tab w:val="left" w:pos="4788"/>
              </w:tabs>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eastAsia="zh-CN"/>
              </w:rPr>
              <w:t xml:space="preserve">《普通高中教师专业发展的实践探索》图书出版项目 </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788"/>
              </w:tabs>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757" w:type="dxa"/>
            <w:tcBorders>
              <w:top w:val="single" w:color="auto" w:sz="4" w:space="0"/>
              <w:left w:val="single" w:color="auto"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在2024年6月1日之前完成本次项目。</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注：1</w:t>
      </w:r>
      <w:r>
        <w:rPr>
          <w:rFonts w:hint="eastAsia" w:ascii="仿宋" w:hAnsi="仿宋" w:eastAsia="仿宋" w:cs="仿宋"/>
          <w:b/>
          <w:kern w:val="0"/>
          <w:sz w:val="24"/>
          <w:szCs w:val="24"/>
          <w:highlight w:val="none"/>
        </w:rPr>
        <w:t>.供应商报价如因国家政策调整，增加的税费由供应商自行承担。</w:t>
      </w:r>
    </w:p>
    <w:p>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仿宋" w:hAnsi="仿宋" w:eastAsia="仿宋" w:cs="仿宋"/>
          <w:b/>
          <w:kern w:val="0"/>
          <w:sz w:val="24"/>
          <w:szCs w:val="24"/>
          <w:highlight w:val="none"/>
        </w:rPr>
      </w:pPr>
      <w:r>
        <w:rPr>
          <w:rFonts w:hint="eastAsia" w:ascii="仿宋" w:hAnsi="仿宋" w:eastAsia="仿宋" w:cs="仿宋"/>
          <w:b/>
          <w:bCs/>
          <w:sz w:val="24"/>
          <w:szCs w:val="24"/>
          <w:highlight w:val="none"/>
        </w:rPr>
        <w:t>2.</w:t>
      </w:r>
      <w:r>
        <w:rPr>
          <w:rFonts w:hint="eastAsia" w:ascii="仿宋" w:hAnsi="仿宋" w:eastAsia="仿宋" w:cs="仿宋"/>
          <w:b/>
          <w:kern w:val="0"/>
          <w:sz w:val="24"/>
          <w:szCs w:val="24"/>
          <w:highlight w:val="none"/>
          <w:lang w:eastAsia="zh-CN"/>
        </w:rPr>
        <w:t>供应商</w:t>
      </w:r>
      <w:r>
        <w:rPr>
          <w:rFonts w:hint="eastAsia" w:ascii="仿宋" w:hAnsi="仿宋" w:eastAsia="仿宋" w:cs="仿宋"/>
          <w:b/>
          <w:kern w:val="0"/>
          <w:sz w:val="24"/>
          <w:szCs w:val="24"/>
          <w:highlight w:val="none"/>
        </w:rPr>
        <w:t>的投标报价不得超过对应的预算金额，否则作无效投标处理。</w:t>
      </w:r>
    </w:p>
    <w:p>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w:t>
      </w:r>
      <w:r>
        <w:rPr>
          <w:rFonts w:hint="eastAsia" w:ascii="仿宋" w:hAnsi="仿宋" w:eastAsia="仿宋" w:cs="仿宋"/>
          <w:b/>
          <w:color w:val="000000"/>
          <w:kern w:val="0"/>
          <w:sz w:val="24"/>
          <w:szCs w:val="24"/>
          <w:highlight w:val="none"/>
        </w:rPr>
        <w:t>第</w:t>
      </w:r>
      <w:r>
        <w:rPr>
          <w:rFonts w:hint="eastAsia" w:ascii="仿宋" w:hAnsi="仿宋" w:eastAsia="仿宋" w:cs="仿宋"/>
          <w:b/>
          <w:color w:val="000000"/>
          <w:kern w:val="0"/>
          <w:sz w:val="24"/>
          <w:szCs w:val="24"/>
          <w:highlight w:val="none"/>
          <w:lang w:val="en-US" w:eastAsia="zh-CN"/>
        </w:rPr>
        <w:t>三</w:t>
      </w:r>
      <w:r>
        <w:rPr>
          <w:rFonts w:hint="eastAsia" w:ascii="仿宋" w:hAnsi="仿宋" w:eastAsia="仿宋" w:cs="仿宋"/>
          <w:b/>
          <w:color w:val="000000"/>
          <w:kern w:val="0"/>
          <w:sz w:val="24"/>
          <w:szCs w:val="24"/>
          <w:highlight w:val="none"/>
        </w:rPr>
        <w:t>章采购需求中的条款，不满足作无效投标处理。</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b/>
          <w:bCs/>
          <w:color w:val="000000"/>
          <w:sz w:val="32"/>
          <w:szCs w:val="32"/>
          <w:highlight w:val="none"/>
        </w:rPr>
        <w:t>技术参数：</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（一）项目概述</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本次采购的</w:t>
      </w:r>
      <w:r>
        <w:rPr>
          <w:rFonts w:hint="eastAsia" w:ascii="仿宋" w:hAnsi="仿宋" w:eastAsia="仿宋" w:cs="仿宋"/>
          <w:sz w:val="24"/>
          <w:szCs w:val="24"/>
          <w:highlight w:val="none"/>
          <w:lang w:eastAsia="zh-CN"/>
        </w:rPr>
        <w:t>《普通高中教师专业发展的实践探索》</w:t>
      </w:r>
      <w:r>
        <w:rPr>
          <w:rFonts w:hint="eastAsia" w:ascii="仿宋" w:hAnsi="仿宋" w:eastAsia="仿宋" w:cs="仿宋"/>
          <w:sz w:val="24"/>
          <w:szCs w:val="24"/>
          <w:highlight w:val="none"/>
        </w:rPr>
        <w:t>开本为16开；正文印刷为单色；正文用纸为80克双胶纸，封面用纸为</w:t>
      </w:r>
      <w:r>
        <w:rPr>
          <w:rFonts w:hint="eastAsia" w:ascii="仿宋" w:hAnsi="仿宋" w:eastAsia="仿宋" w:cs="仿宋"/>
          <w:bCs/>
          <w:sz w:val="24"/>
          <w:szCs w:val="24"/>
          <w:highlight w:val="none"/>
        </w:rPr>
        <w:t>157克铜版纸</w:t>
      </w:r>
      <w:r>
        <w:rPr>
          <w:rFonts w:hint="eastAsia" w:ascii="仿宋" w:hAnsi="仿宋" w:eastAsia="仿宋" w:cs="仿宋"/>
          <w:sz w:val="24"/>
          <w:szCs w:val="24"/>
          <w:highlight w:val="none"/>
        </w:rPr>
        <w:t>；装订形式为</w:t>
      </w:r>
      <w:r>
        <w:rPr>
          <w:rFonts w:hint="eastAsia" w:ascii="仿宋" w:hAnsi="仿宋" w:eastAsia="仿宋" w:cs="仿宋"/>
          <w:bCs/>
          <w:sz w:val="24"/>
          <w:szCs w:val="24"/>
          <w:highlight w:val="none"/>
        </w:rPr>
        <w:t>硬精装</w:t>
      </w:r>
      <w:r>
        <w:rPr>
          <w:rFonts w:hint="eastAsia" w:ascii="仿宋" w:hAnsi="仿宋" w:eastAsia="仿宋" w:cs="仿宋"/>
          <w:sz w:val="24"/>
          <w:szCs w:val="24"/>
          <w:highlight w:val="none"/>
        </w:rPr>
        <w:t>；字数约为75万字；印数为</w:t>
      </w:r>
      <w:r>
        <w:rPr>
          <w:rFonts w:hint="eastAsia" w:ascii="仿宋" w:hAnsi="仿宋" w:eastAsia="仿宋" w:cs="仿宋"/>
          <w:sz w:val="24"/>
          <w:szCs w:val="24"/>
          <w:highlight w:val="none"/>
          <w:lang w:val="en-US" w:eastAsia="zh-CN"/>
        </w:rPr>
        <w:t>1000</w:t>
      </w:r>
      <w:r>
        <w:rPr>
          <w:rFonts w:hint="eastAsia" w:ascii="仿宋" w:hAnsi="仿宋" w:eastAsia="仿宋" w:cs="仿宋"/>
          <w:sz w:val="24"/>
          <w:szCs w:val="24"/>
          <w:highlight w:val="none"/>
        </w:rPr>
        <w:t>册。</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（二）项目需求清单</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 </w:t>
      </w:r>
      <w:r>
        <w:rPr>
          <w:rFonts w:hint="eastAsia" w:ascii="仿宋" w:hAnsi="仿宋" w:eastAsia="仿宋" w:cs="仿宋"/>
          <w:sz w:val="24"/>
          <w:szCs w:val="24"/>
          <w:highlight w:val="none"/>
          <w:lang w:eastAsia="zh-CN"/>
        </w:rPr>
        <w:t>《普通高中教师专业发展的实践探索》图书出版项目，</w:t>
      </w: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负责封面设计、正文版式设计、排版、审稿、编辑、校对、用纸选择、印刷、出版（具备正式书号）等。要求如下：</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（1）开本：16开（787毫米×1092毫米）</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（2）字数：约</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万字</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（3）正文色数：单色</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（4）正文用纸：80克双胶纸</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（5）封面用纸及工艺：157克铜版纸，彩印，亚光膜局部UV上光</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（6）装订形式：硬精装</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（7）印数：</w:t>
      </w:r>
      <w:r>
        <w:rPr>
          <w:rFonts w:hint="eastAsia" w:ascii="仿宋" w:hAnsi="仿宋" w:eastAsia="仿宋" w:cs="仿宋"/>
          <w:sz w:val="24"/>
          <w:szCs w:val="24"/>
          <w:highlight w:val="none"/>
          <w:lang w:val="en-US" w:eastAsia="zh-CN"/>
        </w:rPr>
        <w:t>1000</w:t>
      </w:r>
      <w:r>
        <w:rPr>
          <w:rFonts w:hint="eastAsia" w:ascii="仿宋" w:hAnsi="仿宋" w:eastAsia="仿宋" w:cs="仿宋"/>
          <w:sz w:val="24"/>
          <w:szCs w:val="24"/>
          <w:highlight w:val="none"/>
        </w:rPr>
        <w:t>册</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2.项目质量保证及要求如下：</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须在图书正式出版前向采购人提供一校样供采购人组织校对。</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应与采购人签订作品出版合同和图书购销协议，严格按照出版流程和专业要求，认真组织审稿、编辑、校对，不断修改完善，提升图书的内容质量和编校质量。</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（3）正式印刷前</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必须提供付印样稿，由采购人进行确认后，</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方能正式印刷。</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应按采购人提供的技术要求和质量标准，向采购人提供图书的设计、排版、审稿、编辑、校对、印刷、出版、包装、运输、验收等相关的服务并提供合格的产品。</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（5）图书编校质量应符合国家图书质量管理规定。</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（6）图书印刷质量应符合国家绿色印刷产品质量要求和印刷行业标准。</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提交的图书如有质量问题，应负责免费更换。对达不到要求者，根据实际情况，经双方协商解决。</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3.包装、发运要求如下：</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应在图书发运前对其进行满足运输距离、防潮和防破损装卸等要求包装，以保证图书安全运达采购人指定地点。</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在图书发运手续办理完毕后24小时内或货到采购人48小时前通知采购人，以准备接货，所需一切搬运工具、运输设备均由</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自备。</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（3）图书在交付采购人前发生的风险均由</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承担。</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（4）图书在规定的交付期限内由</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送达采购人指定的地点视为交付，</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同时需通知采购人图书已送达。</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（三）费用结算</w:t>
      </w:r>
      <w:bookmarkStart w:id="133" w:name="_Hlk1443952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签订合同后60个工作日内，采购人向</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一次性付清所有费用。</w:t>
      </w:r>
      <w:bookmarkEnd w:id="133"/>
      <w:r>
        <w:rPr>
          <w:rFonts w:hint="eastAsia" w:ascii="仿宋" w:hAnsi="仿宋" w:eastAsia="仿宋" w:cs="仿宋"/>
          <w:sz w:val="24"/>
          <w:szCs w:val="24"/>
          <w:highlight w:val="none"/>
        </w:rPr>
        <w:t xml:space="preserve"> </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（四）报价方式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《普通高中教师专业发展的实践探索》图书出版项目，</w:t>
      </w:r>
      <w:r>
        <w:rPr>
          <w:rFonts w:hint="eastAsia" w:ascii="仿宋" w:hAnsi="仿宋" w:eastAsia="仿宋" w:cs="仿宋"/>
          <w:sz w:val="24"/>
          <w:szCs w:val="24"/>
          <w:highlight w:val="none"/>
        </w:rPr>
        <w:t>报价含封面设计、版式设计、制版、审稿、编辑、校对、纸张、印刷、装订、包装、运输、出版管理、税金、售后服务等全部内容的费用，及合同包含的所有风险、责任等各项应有费用；</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（五）项目验收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向采购人提供印刷好的样书，经采购人认可后，以此样书作为交付图书的验收依据。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《普通高中教师专业发展的实践探索》图书出版项目</w:t>
      </w:r>
      <w:r>
        <w:rPr>
          <w:rFonts w:hint="eastAsia" w:ascii="仿宋" w:hAnsi="仿宋" w:eastAsia="仿宋" w:cs="仿宋"/>
          <w:sz w:val="24"/>
          <w:szCs w:val="24"/>
          <w:highlight w:val="none"/>
        </w:rPr>
        <w:t>的出版须严格遵照国家相关保密规定执行，在签订合同时需与采购人签订相关保密协议。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3．若验收出版物时发现数量不足或质量、规格与最终需求部门规定不符；或开箱时虽然出版物外包装完好无损但箱内出版物短缺或损伤，采购人有权拒绝接收。</w:t>
      </w:r>
    </w:p>
    <w:p>
      <w:pPr>
        <w:tabs>
          <w:tab w:val="left" w:pos="900"/>
        </w:tabs>
        <w:spacing w:line="360" w:lineRule="auto"/>
        <w:ind w:firstLine="480" w:firstLineChars="200"/>
        <w:rPr>
          <w:rFonts w:hint="eastAsia" w:ascii="仿宋" w:hAnsi="仿宋" w:eastAsia="仿宋"/>
          <w:color w:val="000000"/>
          <w:sz w:val="24"/>
          <w:highlight w:val="none"/>
        </w:rPr>
      </w:pPr>
    </w:p>
    <w:p>
      <w:pPr>
        <w:spacing w:line="360" w:lineRule="auto"/>
        <w:jc w:val="center"/>
        <w:outlineLvl w:val="0"/>
        <w:rPr>
          <w:rFonts w:ascii="仿宋" w:hAnsi="仿宋" w:eastAsia="仿宋"/>
          <w:b/>
          <w:color w:val="000000" w:themeColor="text1"/>
          <w:sz w:val="44"/>
          <w:szCs w:val="21"/>
          <w:highlight w:val="none"/>
          <w14:textFill>
            <w14:solidFill>
              <w14:schemeClr w14:val="tx1"/>
            </w14:solidFill>
          </w14:textFill>
        </w:rPr>
      </w:pPr>
      <w:r>
        <w:rPr>
          <w:rFonts w:hint="eastAsia" w:ascii="仿宋" w:hAnsi="仿宋" w:eastAsia="仿宋"/>
          <w:b/>
          <w:color w:val="000000" w:themeColor="text1"/>
          <w:sz w:val="44"/>
          <w:szCs w:val="21"/>
          <w:highlight w:val="none"/>
          <w14:textFill>
            <w14:solidFill>
              <w14:schemeClr w14:val="tx1"/>
            </w14:solidFill>
          </w14:textFill>
        </w:rPr>
        <w:t>第四章  合同主要条款</w:t>
      </w:r>
    </w:p>
    <w:p>
      <w:pP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jc w:val="center"/>
        <w:rPr>
          <w:rFonts w:hint="eastAsia"/>
          <w:b/>
          <w:sz w:val="52"/>
          <w:highlight w:val="none"/>
        </w:rPr>
      </w:pPr>
    </w:p>
    <w:p>
      <w:pPr>
        <w:jc w:val="center"/>
        <w:rPr>
          <w:rFonts w:hint="eastAsia" w:ascii="仿宋" w:hAnsi="仿宋" w:eastAsia="仿宋" w:cs="仿宋"/>
          <w:b/>
          <w:sz w:val="52"/>
          <w:highlight w:val="none"/>
        </w:rPr>
      </w:pPr>
      <w:r>
        <w:rPr>
          <w:rFonts w:hint="eastAsia" w:ascii="仿宋" w:hAnsi="仿宋" w:eastAsia="仿宋" w:cs="仿宋"/>
          <w:b/>
          <w:sz w:val="52"/>
          <w:highlight w:val="none"/>
        </w:rPr>
        <w:t>作 品 出 版 合 同</w:t>
      </w:r>
    </w:p>
    <w:p>
      <w:pPr>
        <w:jc w:val="center"/>
        <w:rPr>
          <w:b/>
          <w:sz w:val="52"/>
          <w:highlight w:val="none"/>
        </w:rPr>
      </w:pPr>
    </w:p>
    <w:p>
      <w:pPr>
        <w:jc w:val="center"/>
        <w:rPr>
          <w:b/>
          <w:sz w:val="36"/>
          <w:highlight w:val="none"/>
        </w:rPr>
      </w:pPr>
    </w:p>
    <w:p>
      <w:pPr>
        <w:rPr>
          <w:b/>
          <w:sz w:val="36"/>
          <w:highlight w:val="none"/>
        </w:rPr>
      </w:pPr>
    </w:p>
    <w:p>
      <w:pPr>
        <w:keepNext w:val="0"/>
        <w:keepLines w:val="0"/>
        <w:pageBreakBefore w:val="0"/>
        <w:widowControl w:val="0"/>
        <w:kinsoku/>
        <w:wordWrap/>
        <w:overflowPunct/>
        <w:topLinePunct w:val="0"/>
        <w:autoSpaceDE/>
        <w:autoSpaceDN/>
        <w:bidi w:val="0"/>
        <w:adjustRightInd/>
        <w:snapToGrid/>
        <w:ind w:firstLine="2891" w:firstLineChars="800"/>
        <w:textAlignment w:val="auto"/>
        <w:rPr>
          <w:b/>
          <w:sz w:val="36"/>
          <w:highlight w:val="none"/>
        </w:rPr>
      </w:pPr>
    </w:p>
    <w:p>
      <w:pPr>
        <w:keepNext w:val="0"/>
        <w:keepLines w:val="0"/>
        <w:pageBreakBefore w:val="0"/>
        <w:widowControl w:val="0"/>
        <w:kinsoku/>
        <w:wordWrap/>
        <w:overflowPunct/>
        <w:topLinePunct w:val="0"/>
        <w:autoSpaceDE/>
        <w:autoSpaceDN/>
        <w:bidi w:val="0"/>
        <w:adjustRightInd/>
        <w:snapToGrid/>
        <w:ind w:firstLine="1928" w:firstLineChars="800"/>
        <w:jc w:val="both"/>
        <w:textAlignment w:val="auto"/>
        <w:rPr>
          <w:rFonts w:hint="eastAsia" w:ascii="仿宋" w:hAnsi="仿宋" w:eastAsia="仿宋" w:cs="仿宋"/>
          <w:sz w:val="24"/>
          <w:highlight w:val="none"/>
          <w:u w:val="single"/>
        </w:rPr>
      </w:pPr>
      <w:r>
        <w:rPr>
          <w:rFonts w:hint="eastAsia" w:ascii="仿宋" w:hAnsi="仿宋" w:eastAsia="仿宋" w:cs="仿宋"/>
          <w:b/>
          <w:sz w:val="24"/>
          <w:highlight w:val="none"/>
        </w:rPr>
        <w:t xml:space="preserve">作品名称  </w:t>
      </w:r>
      <w:r>
        <w:rPr>
          <w:rFonts w:hint="eastAsia" w:ascii="仿宋" w:hAnsi="仿宋" w:eastAsia="仿宋" w:cs="仿宋"/>
          <w:b/>
          <w:sz w:val="24"/>
          <w:highlight w:val="none"/>
          <w:lang w:val="en-US" w:eastAsia="zh-CN"/>
        </w:rPr>
        <w:t xml:space="preserve">  </w:t>
      </w:r>
      <w:r>
        <w:rPr>
          <w:rFonts w:hint="eastAsia" w:ascii="仿宋" w:hAnsi="仿宋" w:eastAsia="仿宋" w:cs="仿宋"/>
          <w:sz w:val="24"/>
          <w:highlight w:val="none"/>
          <w:u w:val="single"/>
        </w:rPr>
        <w:t>普通高中教师专业发展的实践探索</w:t>
      </w:r>
    </w:p>
    <w:p>
      <w:pPr>
        <w:keepNext w:val="0"/>
        <w:keepLines w:val="0"/>
        <w:pageBreakBefore w:val="0"/>
        <w:widowControl w:val="0"/>
        <w:kinsoku/>
        <w:wordWrap/>
        <w:overflowPunct/>
        <w:topLinePunct w:val="0"/>
        <w:autoSpaceDE/>
        <w:autoSpaceDN/>
        <w:bidi w:val="0"/>
        <w:adjustRightInd/>
        <w:snapToGrid/>
        <w:ind w:firstLine="1928" w:firstLineChars="800"/>
        <w:textAlignment w:val="auto"/>
        <w:rPr>
          <w:rFonts w:hint="eastAsia" w:ascii="仿宋" w:hAnsi="仿宋" w:eastAsia="仿宋" w:cs="仿宋"/>
          <w:b/>
          <w:sz w:val="24"/>
          <w:highlight w:val="none"/>
        </w:rPr>
      </w:pPr>
    </w:p>
    <w:p>
      <w:pPr>
        <w:keepNext w:val="0"/>
        <w:keepLines w:val="0"/>
        <w:pageBreakBefore w:val="0"/>
        <w:widowControl w:val="0"/>
        <w:kinsoku/>
        <w:wordWrap/>
        <w:overflowPunct/>
        <w:topLinePunct w:val="0"/>
        <w:autoSpaceDE/>
        <w:autoSpaceDN/>
        <w:bidi w:val="0"/>
        <w:adjustRightInd/>
        <w:snapToGrid/>
        <w:ind w:firstLine="1928" w:firstLineChars="800"/>
        <w:textAlignment w:val="auto"/>
        <w:rPr>
          <w:rFonts w:hint="eastAsia" w:ascii="仿宋" w:hAnsi="仿宋" w:eastAsia="仿宋" w:cs="仿宋"/>
          <w:b/>
          <w:sz w:val="24"/>
          <w:highlight w:val="none"/>
        </w:rPr>
      </w:pPr>
      <w:r>
        <w:rPr>
          <w:rFonts w:hint="eastAsia" w:ascii="仿宋" w:hAnsi="仿宋" w:eastAsia="仿宋" w:cs="仿宋"/>
          <w:b/>
          <w:sz w:val="24"/>
          <w:highlight w:val="none"/>
        </w:rPr>
        <w:t xml:space="preserve">作品持有人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常州市第一中学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ind w:firstLine="1928" w:firstLineChars="800"/>
        <w:jc w:val="both"/>
        <w:textAlignment w:val="auto"/>
        <w:rPr>
          <w:rFonts w:hint="eastAsia" w:ascii="仿宋" w:hAnsi="仿宋" w:eastAsia="仿宋" w:cs="仿宋"/>
          <w:b/>
          <w:sz w:val="24"/>
          <w:highlight w:val="none"/>
        </w:rPr>
      </w:pPr>
    </w:p>
    <w:p>
      <w:pPr>
        <w:keepNext w:val="0"/>
        <w:keepLines w:val="0"/>
        <w:pageBreakBefore w:val="0"/>
        <w:widowControl w:val="0"/>
        <w:kinsoku/>
        <w:wordWrap/>
        <w:overflowPunct/>
        <w:topLinePunct w:val="0"/>
        <w:autoSpaceDE/>
        <w:autoSpaceDN/>
        <w:bidi w:val="0"/>
        <w:adjustRightInd/>
        <w:snapToGrid/>
        <w:ind w:firstLine="1928" w:firstLineChars="800"/>
        <w:jc w:val="both"/>
        <w:textAlignment w:val="auto"/>
        <w:rPr>
          <w:rFonts w:hint="default" w:ascii="仿宋" w:hAnsi="仿宋" w:eastAsia="仿宋" w:cs="仿宋"/>
          <w:sz w:val="24"/>
          <w:highlight w:val="none"/>
          <w:u w:val="single"/>
          <w:lang w:val="en-US" w:eastAsia="zh-CN"/>
        </w:rPr>
      </w:pPr>
      <w:r>
        <w:rPr>
          <w:rFonts w:hint="eastAsia" w:ascii="仿宋" w:hAnsi="仿宋" w:eastAsia="仿宋" w:cs="仿宋"/>
          <w:b/>
          <w:sz w:val="24"/>
          <w:highlight w:val="none"/>
        </w:rPr>
        <w:t xml:space="preserve">编 辑 室  </w:t>
      </w:r>
      <w:r>
        <w:rPr>
          <w:rFonts w:hint="eastAsia" w:ascii="仿宋" w:hAnsi="仿宋" w:eastAsia="仿宋" w:cs="仿宋"/>
          <w:b/>
          <w:sz w:val="24"/>
          <w:highlight w:val="none"/>
          <w:lang w:val="en-US" w:eastAsia="zh-CN"/>
        </w:rPr>
        <w:t xml:space="preserve">  </w:t>
      </w:r>
      <w:r>
        <w:rPr>
          <w:rFonts w:hint="eastAsia" w:ascii="仿宋" w:hAnsi="仿宋" w:eastAsia="仿宋" w:cs="仿宋"/>
          <w:sz w:val="24"/>
          <w:highlight w:val="none"/>
          <w:u w:val="single"/>
        </w:rPr>
        <w:t>_</w:t>
      </w:r>
      <w:r>
        <w:rPr>
          <w:rFonts w:hint="eastAsia" w:ascii="仿宋" w:hAnsi="仿宋" w:eastAsia="仿宋" w:cs="仿宋"/>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920" w:firstLineChars="800"/>
        <w:jc w:val="both"/>
        <w:textAlignment w:val="auto"/>
        <w:rPr>
          <w:rFonts w:hint="eastAsia" w:ascii="仿宋" w:hAnsi="仿宋" w:eastAsia="仿宋" w:cs="仿宋"/>
          <w:sz w:val="24"/>
          <w:highlight w:val="none"/>
          <w:u w:val="single"/>
        </w:rPr>
      </w:pPr>
    </w:p>
    <w:p>
      <w:pPr>
        <w:keepNext w:val="0"/>
        <w:keepLines w:val="0"/>
        <w:pageBreakBefore w:val="0"/>
        <w:widowControl w:val="0"/>
        <w:kinsoku/>
        <w:wordWrap/>
        <w:overflowPunct/>
        <w:topLinePunct w:val="0"/>
        <w:autoSpaceDE/>
        <w:autoSpaceDN/>
        <w:bidi w:val="0"/>
        <w:adjustRightInd/>
        <w:snapToGrid/>
        <w:ind w:firstLine="1928" w:firstLineChars="800"/>
        <w:jc w:val="both"/>
        <w:textAlignment w:val="auto"/>
        <w:rPr>
          <w:rFonts w:hint="eastAsia" w:ascii="仿宋" w:hAnsi="仿宋" w:eastAsia="仿宋" w:cs="仿宋"/>
          <w:sz w:val="24"/>
          <w:highlight w:val="none"/>
          <w:u w:val="single"/>
        </w:rPr>
      </w:pPr>
      <w:r>
        <w:rPr>
          <w:rFonts w:hint="eastAsia" w:ascii="仿宋" w:hAnsi="仿宋" w:eastAsia="仿宋" w:cs="仿宋"/>
          <w:b/>
          <w:sz w:val="24"/>
          <w:highlight w:val="none"/>
        </w:rPr>
        <w:t xml:space="preserve">责任编辑 </w:t>
      </w:r>
      <w:r>
        <w:rPr>
          <w:rFonts w:hint="eastAsia" w:ascii="仿宋" w:hAnsi="仿宋" w:eastAsia="仿宋" w:cs="仿宋"/>
          <w:b/>
          <w:sz w:val="24"/>
          <w:highlight w:val="non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ind w:firstLine="1920" w:firstLineChars="800"/>
        <w:jc w:val="both"/>
        <w:textAlignment w:val="auto"/>
        <w:rPr>
          <w:rFonts w:hint="eastAsia" w:ascii="仿宋" w:hAnsi="仿宋" w:eastAsia="仿宋" w:cs="仿宋"/>
          <w:sz w:val="24"/>
          <w:highlight w:val="none"/>
          <w:u w:val="single"/>
        </w:rPr>
      </w:pPr>
    </w:p>
    <w:p>
      <w:pPr>
        <w:keepNext w:val="0"/>
        <w:keepLines w:val="0"/>
        <w:pageBreakBefore w:val="0"/>
        <w:widowControl w:val="0"/>
        <w:kinsoku/>
        <w:wordWrap/>
        <w:overflowPunct/>
        <w:topLinePunct w:val="0"/>
        <w:autoSpaceDE/>
        <w:autoSpaceDN/>
        <w:bidi w:val="0"/>
        <w:adjustRightInd/>
        <w:snapToGrid/>
        <w:ind w:firstLine="1928" w:firstLineChars="800"/>
        <w:jc w:val="both"/>
        <w:textAlignment w:val="auto"/>
        <w:rPr>
          <w:rFonts w:hint="eastAsia" w:ascii="仿宋" w:hAnsi="仿宋" w:eastAsia="仿宋" w:cs="仿宋"/>
          <w:b/>
          <w:sz w:val="24"/>
          <w:highlight w:val="none"/>
        </w:rPr>
      </w:pPr>
      <w:r>
        <w:rPr>
          <w:rFonts w:hint="eastAsia" w:ascii="仿宋" w:hAnsi="仿宋" w:eastAsia="仿宋" w:cs="仿宋"/>
          <w:b/>
          <w:sz w:val="24"/>
          <w:highlight w:val="none"/>
        </w:rPr>
        <w:t xml:space="preserve">截止日期 </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u w:val="single"/>
          <w:lang w:val="en-US" w:eastAsia="zh-CN"/>
        </w:rPr>
        <w:t xml:space="preserve">       </w:t>
      </w:r>
      <w:r>
        <w:rPr>
          <w:rFonts w:hint="eastAsia" w:ascii="仿宋" w:hAnsi="仿宋" w:eastAsia="仿宋" w:cs="仿宋"/>
          <w:sz w:val="24"/>
          <w:highlight w:val="none"/>
          <w:u w:val="single"/>
        </w:rPr>
        <w:t>2024年</w:t>
      </w:r>
      <w:r>
        <w:rPr>
          <w:rFonts w:hint="eastAsia" w:ascii="仿宋" w:hAnsi="仿宋" w:eastAsia="仿宋" w:cs="仿宋"/>
          <w:sz w:val="24"/>
          <w:highlight w:val="none"/>
          <w:u w:val="single"/>
          <w:lang w:val="en-US" w:eastAsia="zh-CN"/>
        </w:rPr>
        <w:t>06</w:t>
      </w:r>
      <w:r>
        <w:rPr>
          <w:rFonts w:hint="eastAsia" w:ascii="仿宋" w:hAnsi="仿宋" w:eastAsia="仿宋" w:cs="仿宋"/>
          <w:sz w:val="24"/>
          <w:highlight w:val="none"/>
          <w:u w:val="single"/>
        </w:rPr>
        <w:t>月</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日</w:t>
      </w:r>
      <w:r>
        <w:rPr>
          <w:rFonts w:hint="eastAsia" w:ascii="仿宋" w:hAnsi="仿宋" w:eastAsia="仿宋" w:cs="仿宋"/>
          <w:sz w:val="24"/>
          <w:highlight w:val="none"/>
          <w:u w:val="single"/>
          <w:lang w:val="en-US" w:eastAsia="zh-CN"/>
        </w:rPr>
        <w:t xml:space="preserve">       </w:t>
      </w:r>
    </w:p>
    <w:p>
      <w:pPr>
        <w:rPr>
          <w:highlight w:val="none"/>
        </w:rPr>
      </w:pPr>
    </w:p>
    <w:p>
      <w:pPr>
        <w:rPr>
          <w:highlight w:val="none"/>
        </w:rPr>
      </w:pPr>
    </w:p>
    <w:p>
      <w:pPr>
        <w:spacing w:line="500" w:lineRule="exact"/>
        <w:rPr>
          <w:highlight w:val="none"/>
        </w:rPr>
      </w:pPr>
    </w:p>
    <w:p>
      <w:pPr>
        <w:spacing w:line="500" w:lineRule="exact"/>
        <w:rPr>
          <w:highlight w:val="none"/>
          <w:u w:val="single"/>
        </w:rPr>
      </w:pPr>
    </w:p>
    <w:p>
      <w:pPr>
        <w:spacing w:line="500" w:lineRule="exact"/>
        <w:rPr>
          <w:highlight w:val="none"/>
          <w:u w:val="single"/>
        </w:rPr>
      </w:pPr>
    </w:p>
    <w:p>
      <w:pPr>
        <w:spacing w:line="500" w:lineRule="exact"/>
        <w:rPr>
          <w:highlight w:val="none"/>
          <w:u w:val="single"/>
        </w:rPr>
      </w:pPr>
    </w:p>
    <w:p>
      <w:pPr>
        <w:spacing w:line="500" w:lineRule="exact"/>
        <w:rPr>
          <w:highlight w:val="none"/>
          <w:u w:val="single"/>
        </w:rPr>
      </w:pPr>
    </w:p>
    <w:p>
      <w:pPr>
        <w:spacing w:line="500" w:lineRule="exact"/>
        <w:rPr>
          <w:highlight w:val="none"/>
          <w:u w:val="single"/>
        </w:rPr>
      </w:pPr>
    </w:p>
    <w:p>
      <w:pPr>
        <w:spacing w:line="400" w:lineRule="exact"/>
        <w:rPr>
          <w:rFonts w:hint="eastAsia" w:eastAsia="宋体"/>
          <w:highlight w:val="none"/>
          <w:lang w:eastAsia="zh-CN"/>
        </w:rPr>
      </w:pPr>
      <w:r>
        <w:rPr>
          <w:rFonts w:hint="eastAsia"/>
          <w:sz w:val="32"/>
          <w:szCs w:val="32"/>
          <w:highlight w:val="none"/>
          <w:lang w:val="en-US" w:eastAsia="zh-CN"/>
        </w:rPr>
        <w:t xml:space="preserve"> </w:t>
      </w:r>
    </w:p>
    <w:p>
      <w:pPr>
        <w:spacing w:line="400" w:lineRule="exact"/>
        <w:rPr>
          <w:rFonts w:hint="eastAsia"/>
          <w:highlight w:val="none"/>
        </w:rPr>
      </w:pPr>
    </w:p>
    <w:p>
      <w:pPr>
        <w:spacing w:line="380" w:lineRule="exact"/>
        <w:ind w:firstLine="480" w:firstLineChars="200"/>
        <w:rPr>
          <w:rFonts w:hint="eastAsia"/>
          <w:sz w:val="24"/>
          <w:highlight w:val="none"/>
        </w:rPr>
      </w:pPr>
      <w:r>
        <w:rPr>
          <w:rFonts w:hint="eastAsia"/>
          <w:sz w:val="24"/>
          <w:highlight w:val="none"/>
        </w:rPr>
        <w:t xml:space="preserve"> </w:t>
      </w:r>
    </w:p>
    <w:p>
      <w:pPr>
        <w:rPr>
          <w:rFonts w:hint="eastAsia"/>
          <w:sz w:val="24"/>
          <w:highlight w:val="none"/>
        </w:rPr>
      </w:pPr>
      <w:r>
        <w:rPr>
          <w:rFonts w:hint="eastAsia"/>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甲方（著作权人或其授权人）： 常州市第一中学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乙方（出版者）：</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作品名称：</w:t>
      </w:r>
      <w:r>
        <w:rPr>
          <w:rFonts w:hint="eastAsia" w:ascii="仿宋" w:hAnsi="仿宋" w:eastAsia="仿宋" w:cs="仿宋"/>
          <w:b/>
          <w:sz w:val="24"/>
          <w:szCs w:val="24"/>
          <w:highlight w:val="none"/>
          <w:u w:val="single"/>
        </w:rPr>
        <w:t>普通高中新课程新教材实施国家级示范区（常州）实践探索丛书——普通高中教师专业发展的实践探索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甲方享有著作权证明材料：底稿□  原件□  著作权登记证书□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认证机构出具的证明□  取得权利的合同□  其他合法出版物□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作品完成时间： 202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作品类型：原创□  改编□  翻译□  注释□  整理□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作品署名：</w:t>
      </w:r>
      <w:r>
        <w:rPr>
          <w:rFonts w:hint="eastAsia" w:ascii="仿宋" w:hAnsi="仿宋" w:eastAsia="仿宋" w:cs="仿宋"/>
          <w:sz w:val="24"/>
          <w:szCs w:val="24"/>
          <w:highlight w:val="none"/>
        </w:rPr>
        <w:t>（若有编委会、工作委员会、主编、副主编等，须逐一列在本栏内，排名不分先后）：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主编：</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副主编：</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编委：</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作者：</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甲乙双方协商一致就上述作品的出版达成如下协议：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第一条  甲方授予乙方在合同有效期内，用下列文种，在下列地区，以图书（包括电子图书）形式，出版发行上述作品的专有出版权。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（一）文种：简体中文。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（二）地区：任意地区。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第二条  甲方保证拥有本合同所涉作品的完整著作权，保证作品内容不违反国家的方针政策和法律法规，不侵犯他人著作权、肖像权、隐私权及其他合法权利。若有违反本条约定，甲方对第三方承担全部责任并赔偿乙方因此造成的损失，同时乙方可以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若是受作者（著作权人）委托，与乙方联系出版事宜，则须同时出示本人与著作权人的身份证明、授权委托书及授权范围，并将与原件核对无异的复印件（甲方声明）附于本合同后。甲方与作者对本条第一款所设定义务承担连带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提供作品若为译著，则在缔结本合约前须向乙方提供国外作者经有关部门认证的身份证明及版权证明、作者或版权代理商之授权证明并明确授权范围。甲方（作者）、版权代理商同时对本合同所涉作品承担权利瑕疵担保义务；如发生侵权纠纷，则须对乙方损失承担连带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第三条  作品若由多人合作，甲方须保证所有作者均同意本合同的全部内容并出具相关证明。若因此而引起纠纷，甲方承担全部责任并赔偿乙方有关损失。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第四条  上述作品应符合下列要求：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（一）内容正确，文字通顺，适合具有</w:t>
      </w:r>
      <w:r>
        <w:rPr>
          <w:rFonts w:hint="eastAsia" w:ascii="仿宋" w:hAnsi="仿宋" w:eastAsia="仿宋" w:cs="仿宋"/>
          <w:sz w:val="24"/>
          <w:szCs w:val="24"/>
          <w:highlight w:val="none"/>
          <w:u w:val="single"/>
        </w:rPr>
        <w:t xml:space="preserve"> 中等及以上 </w:t>
      </w:r>
      <w:r>
        <w:rPr>
          <w:rFonts w:hint="eastAsia" w:ascii="仿宋" w:hAnsi="仿宋" w:eastAsia="仿宋" w:cs="仿宋"/>
          <w:sz w:val="24"/>
          <w:szCs w:val="24"/>
          <w:highlight w:val="none"/>
        </w:rPr>
        <w:t>文化程度的读者阅读；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（二）字数：约17万字；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（三）全书体例统一，做到齐、清、定；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（四）其他：</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第五条  甲方应于</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日前交付作品。若甲方不能按时交付作品，应在交付作品期限届满前2个月通知乙方，双方另行约定交付作品日期。若甲方到期仍不能交付作品，除非因不可抗力所致，应按本合同第十二条约定报酬的30%向乙方支付违约金，乙方有权解除合同。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第六条  甲方交付的作品若未达到第四条约定的要求，乙方有权要求甲方修改。如甲方拒绝修改，或反复修改仍达不到第四条的要求，乙方有权解除合同。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第七条  乙方应于作者交付作品后</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个月内出版上述作品。若乙方不能按时出版，应在出版期限届满前2个月通知甲方，双方另行约定出版日期。若乙方到期仍不能出版，除非因不可抗力所致，应按本合同第十二条约定报酬的30%向甲方支付违约金，甲方可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第八条  在合同有效期内，乙方对上述作品享有独占性的使用权。未经乙方同意，甲方不得将作品交给除乙方以外的第三方使用。如有违反，甲方将承担由此造成的法律责任，乙方有权要求经济赔偿并解除合同。乙方经甲方同意许可第三方使用上述权利的，应将所得报酬的</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%交付甲方。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第九条  双方均可与海外出版单位洽谈版权贸易，但在签订合同前应通知对方并征得对方同意，将合同文本的复印件及实际所得报酬的50%交付对方。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第十条  乙方有保护上述作品完整性的义务。乙方有权对作品进行编辑加工和局部增删，增加前言或后记。如有重要改动，应征得甲方同意。双方若有分歧，协商解决。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第十一条  上述作品的校样由乙方审校。乙方可要求甲方看一次校样，甲方应在收到校样后</w:t>
      </w:r>
      <w:r>
        <w:rPr>
          <w:rFonts w:hint="eastAsia" w:ascii="仿宋" w:hAnsi="仿宋" w:eastAsia="仿宋" w:cs="仿宋"/>
          <w:sz w:val="24"/>
          <w:szCs w:val="24"/>
          <w:highlight w:val="none"/>
          <w:u w:val="single"/>
        </w:rPr>
        <w:t xml:space="preserve">  15  </w:t>
      </w:r>
      <w:r>
        <w:rPr>
          <w:rFonts w:hint="eastAsia" w:ascii="仿宋" w:hAnsi="仿宋" w:eastAsia="仿宋" w:cs="仿宋"/>
          <w:sz w:val="24"/>
          <w:szCs w:val="24"/>
          <w:highlight w:val="none"/>
        </w:rPr>
        <w:t>日内签字后退还乙方。甲方未按期退校，乙方可自行按计划付印。因甲方修改造成版面改动超过10%，甲方承担改版费用。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第十二条  乙方采用下列方式及标准之一向甲方支付报酬：</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基本稿酬：基本稿酬=（</w:t>
      </w:r>
      <w:r>
        <w:rPr>
          <w:rFonts w:hint="eastAsia" w:ascii="仿宋" w:hAnsi="仿宋" w:eastAsia="仿宋" w:cs="仿宋"/>
          <w:sz w:val="24"/>
          <w:szCs w:val="24"/>
          <w:highlight w:val="none"/>
          <w:u w:val="single"/>
        </w:rPr>
        <w:t xml:space="preserve">  60  </w:t>
      </w:r>
      <w:r>
        <w:rPr>
          <w:rFonts w:hint="eastAsia" w:ascii="仿宋" w:hAnsi="仿宋" w:eastAsia="仿宋" w:cs="仿宋"/>
          <w:sz w:val="24"/>
          <w:szCs w:val="24"/>
          <w:highlight w:val="none"/>
        </w:rPr>
        <w:t>元/千字）×千字数</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一次性付酬：</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元。</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版税：图书定价×</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%（版税率）×销售数。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第十三条  以方式（一）（二）付酬的，乙方应在上述作品出版后30日内向甲方支付报酬，最长不得超过3个月。累计超过10万册的书店包销教辅读物，超出部分的印数稿酬按基本稿酬×千册数×0.2%支付。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以方式（三）付酬的，乙方在甲方退回校样后30日内向甲方付清。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以方式（四）付酬的，乙方在每年</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月按当年销售数付清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第十四条  上述作品出版后30日内，乙方向甲方赠送样书（赠送册数按乙方样书管理条例执行），并以七零折售予甲方图书不少于</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册，书款从稿酬中扣除。若稿酬不足以付书款，甲方应在作品付印前将所缺书款付给乙方。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第十五条 乙方可以自行决定重印。乙方重印应事先通知甲方。如果甲方需要对作品进行修改，应于收到通知后</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日内答复乙方，否则乙方可按原版重印。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第十六条 乙方重印、再版后，应在重印、再版</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日内按第十二条的约定向甲方支付报酬。</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第十七条  双方因合同的履行发生争议，由双方协商解决。若协商不成，由乙方住所地人民法院处理。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第十八条  合同的变更、续签及其他未尽事宜，必须以书面形式进行，内容由双方另行商定。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w:t>
      </w:r>
      <w:r>
        <w:rPr>
          <w:rFonts w:hint="eastAsia" w:ascii="仿宋" w:hAnsi="仿宋" w:eastAsia="仿宋" w:cs="仿宋"/>
          <w:sz w:val="24"/>
          <w:szCs w:val="24"/>
          <w:highlight w:val="none"/>
          <w:u w:val="single"/>
        </w:rPr>
        <w:t>签字</w:t>
      </w:r>
      <w:r>
        <w:rPr>
          <w:rFonts w:hint="eastAsia" w:ascii="仿宋" w:hAnsi="仿宋" w:eastAsia="仿宋" w:cs="仿宋"/>
          <w:sz w:val="24"/>
          <w:szCs w:val="24"/>
          <w:highlight w:val="none"/>
        </w:rPr>
        <w:t xml:space="preserve">之日起生效，有效期至首次出版后10年；如需相关行政主管部门审批，自批准之日起生效。期满若双方未提异议，合同继续有效，直至一方以书面方式提出终止。但不影响本合同结算条款之履行及追究违约一方之责任并赔偿有关损失。本合同一式四份，双方各执两份。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补充条款  </w:t>
      </w:r>
      <w:r>
        <w:rPr>
          <w:rFonts w:hint="eastAsia" w:ascii="仿宋" w:hAnsi="仿宋" w:eastAsia="仿宋" w:cs="仿宋"/>
          <w:sz w:val="24"/>
          <w:szCs w:val="24"/>
          <w:highlight w:val="none"/>
        </w:rPr>
        <w:t>甲方授权乙方在合同有效期内，享有以电子图书形式出版发行上述作品的专有使用权（包括信息网络传播权），并许可乙方再授权第三方使用该项权利，乙方将由此获得的收益的</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%交付甲方。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合同有效期期满之后，甲方许可乙方仍享有以电子图书形式出版发行上述作品的使用权（包括信息网络传播权），并许可乙方再授权第三方使用该项权利，乙方将由此获得的收益的</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%交付甲方。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电子图书形式指作品以网络、磁盘或光盘为载体，通过计算机、数字化的阅读器或具有类似功能的设备读取使用，并可通过网络或电子载体形式出版、发行、传播和展示。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 xml:space="preserve">  甲方：常州市第一中学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乙方：</w:t>
      </w:r>
      <w:r>
        <w:rPr>
          <w:rFonts w:hint="eastAsia" w:ascii="仿宋" w:hAnsi="仿宋" w:eastAsia="仿宋" w:cs="仿宋"/>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（签章）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（签章）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 xml:space="preserve">  地址：                              地址：</w:t>
      </w:r>
      <w:r>
        <w:rPr>
          <w:rFonts w:hint="eastAsia" w:ascii="仿宋" w:hAnsi="仿宋" w:eastAsia="仿宋" w:cs="仿宋"/>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 xml:space="preserve">  邮编：                              邮编：</w:t>
      </w:r>
      <w:r>
        <w:rPr>
          <w:rFonts w:hint="eastAsia" w:ascii="仿宋" w:hAnsi="仿宋" w:eastAsia="仿宋" w:cs="仿宋"/>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电话：                              电话：</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年    月   日                    </w:t>
      </w:r>
      <w:r>
        <w:rPr>
          <w:rFonts w:hint="eastAsia" w:ascii="仿宋" w:hAnsi="仿宋" w:eastAsia="仿宋" w:cs="仿宋"/>
          <w:highlight w:val="none"/>
        </w:rPr>
        <w:t xml:space="preserve">        </w:t>
      </w:r>
      <w:r>
        <w:rPr>
          <w:rFonts w:hint="eastAsia" w:ascii="仿宋" w:hAnsi="仿宋" w:eastAsia="仿宋" w:cs="仿宋"/>
          <w:sz w:val="24"/>
          <w:szCs w:val="24"/>
          <w:highlight w:val="none"/>
        </w:rPr>
        <w:t>年   月    日</w:t>
      </w:r>
    </w:p>
    <w:p>
      <w:pPr>
        <w:pStyle w:val="52"/>
        <w:spacing w:line="360" w:lineRule="auto"/>
        <w:ind w:left="426" w:firstLine="0" w:firstLineChars="0"/>
        <w:rPr>
          <w:rFonts w:hint="eastAsia" w:ascii="仿宋" w:hAnsi="仿宋" w:eastAsia="仿宋" w:cs="仿宋"/>
          <w:b/>
          <w:bCs/>
          <w:color w:val="000000" w:themeColor="text1"/>
          <w:sz w:val="24"/>
          <w:highlight w:val="none"/>
          <w14:textFill>
            <w14:solidFill>
              <w14:schemeClr w14:val="tx1"/>
            </w14:solidFill>
          </w14:textFill>
        </w:rPr>
      </w:pPr>
    </w:p>
    <w:p>
      <w:pPr>
        <w:pStyle w:val="52"/>
        <w:spacing w:line="360" w:lineRule="auto"/>
        <w:ind w:left="0" w:leftChars="0"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注：上述格式及内容仅供参考，具体以采购人签订合同时内容为准</w:t>
      </w:r>
    </w:p>
    <w:p>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p>
    <w:p>
      <w:pPr>
        <w:jc w:val="center"/>
        <w:rPr>
          <w:rFonts w:hint="eastAsia" w:ascii="仿宋" w:hAnsi="仿宋" w:eastAsia="仿宋" w:cs="仿宋"/>
          <w:b/>
          <w:sz w:val="52"/>
          <w:highlight w:val="none"/>
        </w:rPr>
      </w:pPr>
      <w:r>
        <w:rPr>
          <w:rFonts w:hint="eastAsia" w:ascii="仿宋" w:hAnsi="仿宋" w:eastAsia="仿宋" w:cs="仿宋"/>
          <w:b/>
          <w:sz w:val="52"/>
          <w:highlight w:val="none"/>
        </w:rPr>
        <w:t>图书出版协议</w:t>
      </w:r>
    </w:p>
    <w:p>
      <w:pPr>
        <w:spacing w:line="360" w:lineRule="auto"/>
        <w:rPr>
          <w:rFonts w:hint="eastAsia" w:ascii="仿宋" w:hAnsi="仿宋" w:eastAsia="仿宋" w:cs="仿宋"/>
          <w:b/>
          <w:sz w:val="24"/>
          <w:szCs w:val="24"/>
          <w:highlight w:val="none"/>
        </w:rPr>
      </w:pP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甲方：常州市第一中学</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乙方：</w:t>
      </w:r>
    </w:p>
    <w:p>
      <w:pPr>
        <w:spacing w:line="360" w:lineRule="auto"/>
        <w:rPr>
          <w:rFonts w:hint="eastAsia" w:ascii="仿宋" w:hAnsi="仿宋" w:eastAsia="仿宋" w:cs="仿宋"/>
          <w:b/>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为保证《普通高中教师专业发展的实践探索》一书的顺利出版，经双方协商一致，达成如下条款：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甲方提供出版费用</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元，并在该书付印之前支付到位；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乙方赠送甲方1000册成书。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本协议一式四份，双方各执两份，具有同等法律效力。本协议自签字之日起生效，有效期至图书首次出版后1年；如需相关行政主管部门审批，自批准之日起生效。</w:t>
      </w:r>
    </w:p>
    <w:p>
      <w:pPr>
        <w:spacing w:line="400" w:lineRule="exact"/>
        <w:ind w:firstLine="480"/>
        <w:rPr>
          <w:rFonts w:hint="eastAsia" w:ascii="仿宋" w:hAnsi="仿宋" w:eastAsia="仿宋" w:cs="仿宋"/>
          <w:sz w:val="24"/>
          <w:szCs w:val="24"/>
          <w:highlight w:val="none"/>
        </w:rPr>
      </w:pPr>
    </w:p>
    <w:p>
      <w:pPr>
        <w:spacing w:line="400" w:lineRule="exact"/>
        <w:ind w:firstLine="480"/>
        <w:rPr>
          <w:rFonts w:hint="eastAsia" w:ascii="仿宋" w:hAnsi="仿宋" w:eastAsia="仿宋" w:cs="仿宋"/>
          <w:sz w:val="24"/>
          <w:szCs w:val="24"/>
          <w:highlight w:val="none"/>
        </w:rPr>
      </w:pPr>
    </w:p>
    <w:p>
      <w:pPr>
        <w:spacing w:line="400" w:lineRule="exact"/>
        <w:ind w:firstLine="480"/>
        <w:rPr>
          <w:rFonts w:hint="eastAsia" w:ascii="仿宋" w:hAnsi="仿宋" w:eastAsia="仿宋" w:cs="仿宋"/>
          <w:sz w:val="24"/>
          <w:szCs w:val="24"/>
          <w:highlight w:val="none"/>
        </w:rPr>
      </w:pPr>
    </w:p>
    <w:p>
      <w:pPr>
        <w:spacing w:line="400" w:lineRule="exact"/>
        <w:ind w:firstLine="480"/>
        <w:rPr>
          <w:rFonts w:hint="eastAsia" w:ascii="仿宋" w:hAnsi="仿宋" w:eastAsia="仿宋" w:cs="仿宋"/>
          <w:sz w:val="24"/>
          <w:szCs w:val="24"/>
          <w:highlight w:val="none"/>
        </w:rPr>
      </w:pPr>
    </w:p>
    <w:p>
      <w:pPr>
        <w:spacing w:beforeLines="50" w:line="440" w:lineRule="exact"/>
        <w:rPr>
          <w:rFonts w:hint="eastAsia" w:ascii="仿宋" w:hAnsi="仿宋" w:eastAsia="仿宋" w:cs="仿宋"/>
          <w:sz w:val="24"/>
          <w:szCs w:val="24"/>
          <w:highlight w:val="none"/>
        </w:rPr>
      </w:pP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甲方：常州市第一中学                乙方：</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（签章）                            （签章）</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地址：                              地址：</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邮编：                              邮编：</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电话：                              电话：</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2024</w:t>
      </w:r>
      <w:r>
        <w:rPr>
          <w:rFonts w:hint="eastAsia" w:ascii="仿宋" w:hAnsi="仿宋" w:eastAsia="仿宋" w:cs="仿宋"/>
          <w:sz w:val="24"/>
          <w:szCs w:val="24"/>
          <w:highlight w:val="none"/>
        </w:rPr>
        <w:t xml:space="preserve"> 年   月   日                        </w:t>
      </w:r>
      <w:r>
        <w:rPr>
          <w:rFonts w:hint="eastAsia" w:ascii="仿宋" w:hAnsi="仿宋" w:eastAsia="仿宋" w:cs="仿宋"/>
          <w:sz w:val="24"/>
          <w:szCs w:val="24"/>
          <w:highlight w:val="none"/>
          <w:lang w:eastAsia="zh-CN"/>
        </w:rPr>
        <w:t>2024</w:t>
      </w:r>
      <w:r>
        <w:rPr>
          <w:rFonts w:hint="eastAsia" w:ascii="仿宋" w:hAnsi="仿宋" w:eastAsia="仿宋" w:cs="仿宋"/>
          <w:sz w:val="24"/>
          <w:szCs w:val="24"/>
          <w:highlight w:val="none"/>
        </w:rPr>
        <w:t xml:space="preserve"> 年   月    日</w:t>
      </w:r>
    </w:p>
    <w:p>
      <w:pPr>
        <w:spacing w:line="400" w:lineRule="exact"/>
        <w:ind w:firstLine="480"/>
        <w:rPr>
          <w:rFonts w:hint="eastAsia" w:ascii="仿宋" w:hAnsi="仿宋" w:eastAsia="仿宋" w:cs="仿宋"/>
          <w:sz w:val="24"/>
          <w:szCs w:val="24"/>
          <w:highlight w:val="none"/>
        </w:rPr>
      </w:pPr>
    </w:p>
    <w:p>
      <w:pPr>
        <w:pStyle w:val="52"/>
        <w:spacing w:line="360" w:lineRule="auto"/>
        <w:ind w:left="426" w:firstLine="0" w:firstLineChars="0"/>
        <w:rPr>
          <w:rFonts w:hint="eastAsia" w:ascii="仿宋" w:hAnsi="仿宋" w:eastAsia="仿宋" w:cs="仿宋"/>
          <w:b/>
          <w:bCs/>
          <w:color w:val="000000" w:themeColor="text1"/>
          <w:sz w:val="24"/>
          <w:highlight w:val="none"/>
          <w14:textFill>
            <w14:solidFill>
              <w14:schemeClr w14:val="tx1"/>
            </w14:solidFill>
          </w14:textFill>
        </w:rPr>
      </w:pPr>
    </w:p>
    <w:p>
      <w:pPr>
        <w:pStyle w:val="52"/>
        <w:spacing w:line="360" w:lineRule="auto"/>
        <w:ind w:left="0" w:leftChars="0" w:firstLine="0"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注：上述格式及内容仅供参考，具体以采购人签订合同时内容为准</w:t>
      </w:r>
    </w:p>
    <w:p>
      <w:pPr>
        <w:spacing w:line="480" w:lineRule="auto"/>
        <w:jc w:val="center"/>
        <w:outlineLvl w:val="0"/>
        <w:rPr>
          <w:rFonts w:ascii="仿宋" w:hAnsi="仿宋" w:eastAsia="仿宋"/>
          <w:b/>
          <w:color w:val="000000" w:themeColor="text1"/>
          <w:sz w:val="44"/>
          <w:szCs w:val="21"/>
          <w:highlight w:val="none"/>
          <w14:textFill>
            <w14:solidFill>
              <w14:schemeClr w14:val="tx1"/>
            </w14:solidFill>
          </w14:textFill>
        </w:rPr>
      </w:pPr>
      <w:r>
        <w:rPr>
          <w:rFonts w:hint="eastAsia" w:ascii="仿宋" w:hAnsi="仿宋" w:eastAsia="仿宋"/>
          <w:b/>
          <w:color w:val="000000" w:themeColor="text1"/>
          <w:sz w:val="44"/>
          <w:szCs w:val="21"/>
          <w:highlight w:val="none"/>
          <w14:textFill>
            <w14:solidFill>
              <w14:schemeClr w14:val="tx1"/>
            </w14:solidFill>
          </w14:textFill>
        </w:rPr>
        <w:br w:type="page"/>
      </w:r>
      <w:r>
        <w:rPr>
          <w:rFonts w:hint="eastAsia" w:ascii="仿宋" w:hAnsi="仿宋" w:eastAsia="仿宋"/>
          <w:b/>
          <w:color w:val="000000" w:themeColor="text1"/>
          <w:sz w:val="44"/>
          <w:szCs w:val="21"/>
          <w:highlight w:val="none"/>
          <w14:textFill>
            <w14:solidFill>
              <w14:schemeClr w14:val="tx1"/>
            </w14:solidFill>
          </w14:textFill>
        </w:rPr>
        <w:t>第五章  评标方法与评标标准</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bookmarkStart w:id="134" w:name="_Toc401414769"/>
      <w:r>
        <w:rPr>
          <w:rFonts w:ascii="仿宋" w:hAnsi="仿宋" w:eastAsia="仿宋"/>
          <w:bCs/>
          <w:color w:val="000000" w:themeColor="text1"/>
          <w:sz w:val="24"/>
          <w:highlight w:val="none"/>
          <w14:textFill>
            <w14:solidFill>
              <w14:schemeClr w14:val="tx1"/>
            </w14:solidFill>
          </w14:textFill>
        </w:rPr>
        <w:t>1、报价在采购预算价格以下的，为有效报价。超出采购预算的报价为无效报价。无效报价的响应文件不进行评审，也不得成交。本次谈判采用最低评标价法，在满足谈判文件实质性要求，并符合采购需求、质量和服务相等的前提下，以提出最低</w:t>
      </w:r>
      <w:r>
        <w:rPr>
          <w:rFonts w:hint="eastAsia" w:ascii="仿宋" w:hAnsi="仿宋" w:eastAsia="仿宋"/>
          <w:bCs/>
          <w:color w:val="000000" w:themeColor="text1"/>
          <w:sz w:val="24"/>
          <w:highlight w:val="none"/>
          <w14:textFill>
            <w14:solidFill>
              <w14:schemeClr w14:val="tx1"/>
            </w14:solidFill>
          </w14:textFill>
        </w:rPr>
        <w:t>报价</w:t>
      </w:r>
      <w:r>
        <w:rPr>
          <w:rFonts w:ascii="仿宋" w:hAnsi="仿宋" w:eastAsia="仿宋"/>
          <w:bCs/>
          <w:color w:val="000000" w:themeColor="text1"/>
          <w:sz w:val="24"/>
          <w:highlight w:val="none"/>
          <w14:textFill>
            <w14:solidFill>
              <w14:schemeClr w14:val="tx1"/>
            </w14:solidFill>
          </w14:textFill>
        </w:rPr>
        <w:t>的谈判单位作为预成交供应商。</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ascii="仿宋" w:hAnsi="仿宋" w:eastAsia="仿宋"/>
          <w:bCs/>
          <w:color w:val="000000" w:themeColor="text1"/>
          <w:sz w:val="24"/>
          <w:highlight w:val="none"/>
          <w14:textFill>
            <w14:solidFill>
              <w14:schemeClr w14:val="tx1"/>
            </w14:solidFill>
          </w14:textFill>
        </w:rPr>
        <w:t>2、谈判小组各成员独立对每个有效谈判单位的谈判响应文件技术部分进行评审和评价。</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w:t>
      </w:r>
      <w:r>
        <w:rPr>
          <w:rFonts w:ascii="仿宋" w:hAnsi="仿宋" w:eastAsia="仿宋"/>
          <w:bCs/>
          <w:color w:val="000000" w:themeColor="text1"/>
          <w:sz w:val="24"/>
          <w:highlight w:val="none"/>
          <w14:textFill>
            <w14:solidFill>
              <w14:schemeClr w14:val="tx1"/>
            </w14:solidFill>
          </w14:textFill>
        </w:rPr>
        <w:t>报价相同的，以开标签到先后顺序抽签确定</w:t>
      </w:r>
      <w:r>
        <w:rPr>
          <w:rFonts w:hint="eastAsia" w:ascii="仿宋" w:hAnsi="仿宋" w:eastAsia="仿宋"/>
          <w:bCs/>
          <w:color w:val="000000" w:themeColor="text1"/>
          <w:sz w:val="24"/>
          <w:highlight w:val="none"/>
          <w14:textFill>
            <w14:solidFill>
              <w14:schemeClr w14:val="tx1"/>
            </w14:solidFill>
          </w14:textFill>
        </w:rPr>
        <w:t>成交供应商</w:t>
      </w:r>
      <w:r>
        <w:rPr>
          <w:rFonts w:ascii="仿宋" w:hAnsi="仿宋" w:eastAsia="仿宋"/>
          <w:bCs/>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谈判</w:t>
      </w:r>
      <w:r>
        <w:rPr>
          <w:rFonts w:hint="eastAsia" w:ascii="仿宋" w:hAnsi="仿宋" w:eastAsia="仿宋" w:cs="仿宋"/>
          <w:bCs/>
          <w:color w:val="000000" w:themeColor="text1"/>
          <w:sz w:val="24"/>
          <w:highlight w:val="none"/>
          <w14:textFill>
            <w14:solidFill>
              <w14:schemeClr w14:val="tx1"/>
            </w14:solidFill>
          </w14:textFill>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投标处理。</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ascii="仿宋" w:hAnsi="仿宋" w:eastAsia="仿宋"/>
          <w:bCs/>
          <w:color w:val="000000" w:themeColor="text1"/>
          <w:sz w:val="24"/>
          <w:highlight w:val="none"/>
          <w14:textFill>
            <w14:solidFill>
              <w14:schemeClr w14:val="tx1"/>
            </w14:solidFill>
          </w14:textFill>
        </w:rPr>
        <w:t>本竞争性谈判文件的最终解释权归常州中宇建设工程管理有限公司所有。</w:t>
      </w:r>
    </w:p>
    <w:p>
      <w:pPr>
        <w:spacing w:line="500" w:lineRule="exact"/>
        <w:rPr>
          <w:rFonts w:ascii="仿宋" w:hAnsi="仿宋" w:eastAsia="仿宋"/>
          <w:bCs/>
          <w:color w:val="000000" w:themeColor="text1"/>
          <w:sz w:val="24"/>
          <w:highlight w:val="none"/>
          <w14:textFill>
            <w14:solidFill>
              <w14:schemeClr w14:val="tx1"/>
            </w14:solidFill>
          </w14:textFill>
        </w:rPr>
      </w:pPr>
    </w:p>
    <w:p>
      <w:pPr>
        <w:spacing w:line="500" w:lineRule="exact"/>
        <w:rPr>
          <w:rFonts w:ascii="仿宋" w:hAnsi="仿宋" w:eastAsia="仿宋"/>
          <w:bCs/>
          <w:color w:val="000000" w:themeColor="text1"/>
          <w:sz w:val="24"/>
          <w:highlight w:val="none"/>
          <w14:textFill>
            <w14:solidFill>
              <w14:schemeClr w14:val="tx1"/>
            </w14:solidFill>
          </w14:textFill>
        </w:rPr>
      </w:pPr>
    </w:p>
    <w:p>
      <w:pPr>
        <w:spacing w:line="500" w:lineRule="exact"/>
        <w:rPr>
          <w:rFonts w:ascii="仿宋" w:hAnsi="仿宋" w:eastAsia="仿宋"/>
          <w:bCs/>
          <w:color w:val="000000" w:themeColor="text1"/>
          <w:sz w:val="24"/>
          <w:highlight w:val="none"/>
          <w14:textFill>
            <w14:solidFill>
              <w14:schemeClr w14:val="tx1"/>
            </w14:solidFill>
          </w14:textFill>
        </w:rPr>
      </w:pPr>
    </w:p>
    <w:p>
      <w:pPr>
        <w:pStyle w:val="24"/>
        <w:ind w:firstLine="480"/>
        <w:rPr>
          <w:rFonts w:ascii="仿宋" w:hAnsi="仿宋" w:eastAsia="仿宋"/>
          <w:bCs/>
          <w:color w:val="000000" w:themeColor="text1"/>
          <w:sz w:val="24"/>
          <w:highlight w:val="none"/>
          <w14:textFill>
            <w14:solidFill>
              <w14:schemeClr w14:val="tx1"/>
            </w14:solidFill>
          </w14:textFill>
        </w:rPr>
      </w:pPr>
    </w:p>
    <w:p>
      <w:pPr>
        <w:rPr>
          <w:rFonts w:ascii="仿宋" w:hAnsi="仿宋" w:eastAsia="仿宋"/>
          <w:bCs/>
          <w:color w:val="000000" w:themeColor="text1"/>
          <w:sz w:val="24"/>
          <w:highlight w:val="none"/>
          <w14:textFill>
            <w14:solidFill>
              <w14:schemeClr w14:val="tx1"/>
            </w14:solidFill>
          </w14:textFill>
        </w:rPr>
      </w:pPr>
    </w:p>
    <w:p>
      <w:pPr>
        <w:pStyle w:val="24"/>
        <w:ind w:firstLine="480"/>
        <w:rPr>
          <w:rFonts w:ascii="仿宋" w:hAnsi="仿宋" w:eastAsia="仿宋"/>
          <w:bCs/>
          <w:color w:val="000000" w:themeColor="text1"/>
          <w:sz w:val="24"/>
          <w:highlight w:val="none"/>
          <w14:textFill>
            <w14:solidFill>
              <w14:schemeClr w14:val="tx1"/>
            </w14:solidFill>
          </w14:textFill>
        </w:rPr>
      </w:pPr>
    </w:p>
    <w:p>
      <w:pPr>
        <w:rPr>
          <w:rFonts w:ascii="仿宋" w:hAnsi="仿宋" w:eastAsia="仿宋"/>
          <w:bCs/>
          <w:color w:val="000000" w:themeColor="text1"/>
          <w:sz w:val="24"/>
          <w:highlight w:val="none"/>
          <w14:textFill>
            <w14:solidFill>
              <w14:schemeClr w14:val="tx1"/>
            </w14:solidFill>
          </w14:textFill>
        </w:rPr>
      </w:pPr>
    </w:p>
    <w:p>
      <w:pPr>
        <w:pStyle w:val="24"/>
        <w:ind w:firstLine="480"/>
        <w:rPr>
          <w:rFonts w:ascii="仿宋" w:hAnsi="仿宋" w:eastAsia="仿宋"/>
          <w:bCs/>
          <w:color w:val="000000" w:themeColor="text1"/>
          <w:sz w:val="24"/>
          <w:highlight w:val="none"/>
          <w14:textFill>
            <w14:solidFill>
              <w14:schemeClr w14:val="tx1"/>
            </w14:solidFill>
          </w14:textFill>
        </w:rPr>
      </w:pPr>
    </w:p>
    <w:p>
      <w:pPr>
        <w:rPr>
          <w:rFonts w:ascii="仿宋" w:hAnsi="仿宋" w:eastAsia="仿宋"/>
          <w:bCs/>
          <w:color w:val="000000" w:themeColor="text1"/>
          <w:sz w:val="24"/>
          <w:highlight w:val="none"/>
          <w14:textFill>
            <w14:solidFill>
              <w14:schemeClr w14:val="tx1"/>
            </w14:solidFill>
          </w14:textFill>
        </w:rPr>
      </w:pPr>
    </w:p>
    <w:p>
      <w:pPr>
        <w:pStyle w:val="24"/>
        <w:ind w:firstLine="480"/>
        <w:rPr>
          <w:rFonts w:ascii="仿宋" w:hAnsi="仿宋" w:eastAsia="仿宋"/>
          <w:bCs/>
          <w:color w:val="000000" w:themeColor="text1"/>
          <w:sz w:val="24"/>
          <w:highlight w:val="none"/>
          <w14:textFill>
            <w14:solidFill>
              <w14:schemeClr w14:val="tx1"/>
            </w14:solidFill>
          </w14:textFill>
        </w:rPr>
      </w:pPr>
    </w:p>
    <w:p>
      <w:pPr>
        <w:rPr>
          <w:rFonts w:ascii="仿宋" w:hAnsi="仿宋" w:eastAsia="仿宋"/>
          <w:bCs/>
          <w:color w:val="000000" w:themeColor="text1"/>
          <w:sz w:val="24"/>
          <w:highlight w:val="none"/>
          <w14:textFill>
            <w14:solidFill>
              <w14:schemeClr w14:val="tx1"/>
            </w14:solidFill>
          </w14:textFill>
        </w:rPr>
      </w:pPr>
    </w:p>
    <w:p>
      <w:pPr>
        <w:pStyle w:val="24"/>
        <w:ind w:firstLine="480"/>
        <w:rPr>
          <w:rFonts w:ascii="仿宋" w:hAnsi="仿宋" w:eastAsia="仿宋"/>
          <w:bCs/>
          <w:color w:val="000000" w:themeColor="text1"/>
          <w:sz w:val="24"/>
          <w:highlight w:val="none"/>
          <w14:textFill>
            <w14:solidFill>
              <w14:schemeClr w14:val="tx1"/>
            </w14:solidFill>
          </w14:textFill>
        </w:rPr>
      </w:pPr>
    </w:p>
    <w:p>
      <w:pPr>
        <w:rPr>
          <w:rFonts w:ascii="仿宋" w:hAnsi="仿宋" w:eastAsia="仿宋"/>
          <w:bCs/>
          <w:color w:val="000000" w:themeColor="text1"/>
          <w:sz w:val="24"/>
          <w:highlight w:val="none"/>
          <w14:textFill>
            <w14:solidFill>
              <w14:schemeClr w14:val="tx1"/>
            </w14:solidFill>
          </w14:textFill>
        </w:rPr>
      </w:pPr>
    </w:p>
    <w:p>
      <w:pPr>
        <w:pStyle w:val="24"/>
        <w:ind w:firstLine="480"/>
        <w:rPr>
          <w:rFonts w:ascii="仿宋" w:hAnsi="仿宋" w:eastAsia="仿宋"/>
          <w:bCs/>
          <w:color w:val="000000" w:themeColor="text1"/>
          <w:sz w:val="24"/>
          <w:highlight w:val="none"/>
          <w14:textFill>
            <w14:solidFill>
              <w14:schemeClr w14:val="tx1"/>
            </w14:solidFill>
          </w14:textFill>
        </w:rPr>
      </w:pPr>
    </w:p>
    <w:p>
      <w:pPr>
        <w:rPr>
          <w:rFonts w:ascii="仿宋" w:hAnsi="仿宋" w:eastAsia="仿宋"/>
          <w:bCs/>
          <w:color w:val="000000" w:themeColor="text1"/>
          <w:sz w:val="24"/>
          <w:highlight w:val="none"/>
          <w14:textFill>
            <w14:solidFill>
              <w14:schemeClr w14:val="tx1"/>
            </w14:solidFill>
          </w14:textFill>
        </w:rPr>
      </w:pPr>
    </w:p>
    <w:p>
      <w:pPr>
        <w:pStyle w:val="4"/>
        <w:rPr>
          <w:rFonts w:ascii="仿宋" w:hAnsi="仿宋" w:eastAsia="仿宋"/>
          <w:b w:val="0"/>
          <w:bCs/>
          <w:color w:val="000000" w:themeColor="text1"/>
          <w:szCs w:val="24"/>
          <w:highlight w:val="none"/>
          <w14:textFill>
            <w14:solidFill>
              <w14:schemeClr w14:val="tx1"/>
            </w14:solidFill>
          </w14:textFill>
        </w:rPr>
      </w:pPr>
    </w:p>
    <w:p>
      <w:pPr>
        <w:rPr>
          <w:rFonts w:ascii="仿宋" w:hAnsi="仿宋" w:eastAsia="仿宋"/>
          <w:bCs/>
          <w:color w:val="000000" w:themeColor="text1"/>
          <w:sz w:val="24"/>
          <w:highlight w:val="none"/>
          <w14:textFill>
            <w14:solidFill>
              <w14:schemeClr w14:val="tx1"/>
            </w14:solidFill>
          </w14:textFill>
        </w:rPr>
      </w:pPr>
    </w:p>
    <w:p>
      <w:pPr>
        <w:pStyle w:val="4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00" w:lineRule="exact"/>
        <w:jc w:val="center"/>
        <w:rPr>
          <w:rFonts w:ascii="仿宋" w:hAnsi="仿宋" w:eastAsia="仿宋"/>
          <w:b/>
          <w:color w:val="000000" w:themeColor="text1"/>
          <w:sz w:val="44"/>
          <w:szCs w:val="21"/>
          <w:highlight w:val="none"/>
          <w14:textFill>
            <w14:solidFill>
              <w14:schemeClr w14:val="tx1"/>
            </w14:solidFill>
          </w14:textFill>
        </w:rPr>
      </w:pPr>
      <w:bookmarkStart w:id="135" w:name="_Toc463253086"/>
      <w:r>
        <w:rPr>
          <w:rFonts w:ascii="仿宋" w:hAnsi="仿宋" w:eastAsia="仿宋"/>
          <w:b/>
          <w:color w:val="000000" w:themeColor="text1"/>
          <w:sz w:val="44"/>
          <w:szCs w:val="21"/>
          <w:highlight w:val="none"/>
          <w14:textFill>
            <w14:solidFill>
              <w14:schemeClr w14:val="tx1"/>
            </w14:solidFill>
          </w14:textFill>
        </w:rPr>
        <w:t xml:space="preserve">第六章  </w:t>
      </w:r>
      <w:bookmarkEnd w:id="134"/>
      <w:bookmarkEnd w:id="135"/>
      <w:r>
        <w:rPr>
          <w:rFonts w:hint="eastAsia" w:ascii="仿宋" w:hAnsi="仿宋" w:eastAsia="仿宋"/>
          <w:b/>
          <w:color w:val="000000" w:themeColor="text1"/>
          <w:sz w:val="44"/>
          <w:szCs w:val="21"/>
          <w:highlight w:val="none"/>
          <w14:textFill>
            <w14:solidFill>
              <w14:schemeClr w14:val="tx1"/>
            </w14:solidFill>
          </w14:textFill>
        </w:rPr>
        <w:t>响应</w:t>
      </w:r>
      <w:r>
        <w:rPr>
          <w:rFonts w:ascii="仿宋" w:hAnsi="仿宋" w:eastAsia="仿宋"/>
          <w:b/>
          <w:color w:val="000000" w:themeColor="text1"/>
          <w:sz w:val="44"/>
          <w:szCs w:val="21"/>
          <w:highlight w:val="none"/>
          <w14:textFill>
            <w14:solidFill>
              <w14:schemeClr w14:val="tx1"/>
            </w14:solidFill>
          </w14:textFill>
        </w:rPr>
        <w:t>文件格式</w:t>
      </w:r>
    </w:p>
    <w:p>
      <w:pPr>
        <w:jc w:val="center"/>
        <w:rPr>
          <w:rFonts w:ascii="仿宋" w:hAnsi="仿宋" w:eastAsia="仿宋"/>
          <w:b/>
          <w:color w:val="000000" w:themeColor="text1"/>
          <w:sz w:val="72"/>
          <w:highlight w:val="none"/>
          <w14:textFill>
            <w14:solidFill>
              <w14:schemeClr w14:val="tx1"/>
            </w14:solidFill>
          </w14:textFill>
        </w:rPr>
      </w:pPr>
      <w:bookmarkStart w:id="136" w:name="_Hlt26955039"/>
      <w:bookmarkEnd w:id="136"/>
      <w:bookmarkStart w:id="137" w:name="_Hlt26671244"/>
      <w:bookmarkEnd w:id="137"/>
      <w:bookmarkStart w:id="138" w:name="_Toc120614282"/>
      <w:bookmarkStart w:id="139" w:name="_Toc49090576"/>
      <w:bookmarkStart w:id="140" w:name="_Toc26554094"/>
    </w:p>
    <w:p>
      <w:pPr>
        <w:jc w:val="center"/>
        <w:rPr>
          <w:rFonts w:ascii="仿宋" w:hAnsi="仿宋" w:eastAsia="仿宋"/>
          <w:b/>
          <w:color w:val="000000" w:themeColor="text1"/>
          <w:sz w:val="72"/>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响  应</w:t>
      </w:r>
      <w:r>
        <w:rPr>
          <w:rFonts w:ascii="仿宋" w:hAnsi="仿宋" w:eastAsia="仿宋"/>
          <w:b/>
          <w:color w:val="000000" w:themeColor="text1"/>
          <w:sz w:val="72"/>
          <w:highlight w:val="none"/>
          <w14:textFill>
            <w14:solidFill>
              <w14:schemeClr w14:val="tx1"/>
            </w14:solidFill>
          </w14:textFill>
        </w:rPr>
        <w:t xml:space="preserve">  文  件</w:t>
      </w:r>
    </w:p>
    <w:p>
      <w:pPr>
        <w:jc w:val="center"/>
        <w:rPr>
          <w:rFonts w:ascii="仿宋" w:hAnsi="仿宋" w:eastAsia="仿宋"/>
          <w:b/>
          <w:color w:val="000000" w:themeColor="text1"/>
          <w:sz w:val="72"/>
          <w:highlight w:val="none"/>
          <w14:textFill>
            <w14:solidFill>
              <w14:schemeClr w14:val="tx1"/>
            </w14:solidFill>
          </w14:textFill>
        </w:rPr>
      </w:pPr>
    </w:p>
    <w:p>
      <w:pPr>
        <w:jc w:val="center"/>
        <w:rPr>
          <w:rFonts w:ascii="仿宋" w:hAnsi="仿宋" w:eastAsia="仿宋"/>
          <w:b/>
          <w:color w:val="000000" w:themeColor="text1"/>
          <w:sz w:val="72"/>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jc w:val="center"/>
        <w:rPr>
          <w:rFonts w:ascii="仿宋" w:hAnsi="仿宋" w:eastAsia="仿宋"/>
          <w:b/>
          <w:color w:val="000000" w:themeColor="text1"/>
          <w:sz w:val="36"/>
          <w:highlight w:val="none"/>
          <w14:textFill>
            <w14:solidFill>
              <w14:schemeClr w14:val="tx1"/>
            </w14:solidFill>
          </w14:textFill>
        </w:rPr>
      </w:pPr>
    </w:p>
    <w:p>
      <w:pPr>
        <w:ind w:firstLine="1084" w:firstLineChars="300"/>
        <w:rPr>
          <w:rFonts w:ascii="仿宋" w:hAnsi="仿宋" w:eastAsia="仿宋"/>
          <w:b/>
          <w:color w:val="000000" w:themeColor="text1"/>
          <w:sz w:val="36"/>
          <w:highlight w:val="none"/>
          <w14:textFill>
            <w14:solidFill>
              <w14:schemeClr w14:val="tx1"/>
            </w14:solidFill>
          </w14:textFill>
        </w:rPr>
      </w:pPr>
      <w:r>
        <w:rPr>
          <w:rFonts w:ascii="仿宋" w:hAnsi="仿宋" w:eastAsia="仿宋"/>
          <w:b/>
          <w:color w:val="000000" w:themeColor="text1"/>
          <w:sz w:val="36"/>
          <w:highlight w:val="none"/>
          <w14:textFill>
            <w14:solidFill>
              <w14:schemeClr w14:val="tx1"/>
            </w14:solidFill>
          </w14:textFill>
        </w:rPr>
        <w:t>项 目 名 称：</w:t>
      </w:r>
      <w:r>
        <w:rPr>
          <w:rFonts w:ascii="仿宋" w:hAnsi="仿宋" w:eastAsia="仿宋"/>
          <w:b/>
          <w:color w:val="000000" w:themeColor="text1"/>
          <w:sz w:val="36"/>
          <w:highlight w:val="none"/>
          <w:u w:val="single"/>
          <w14:textFill>
            <w14:solidFill>
              <w14:schemeClr w14:val="tx1"/>
            </w14:solidFill>
          </w14:textFill>
        </w:rPr>
        <w:t xml:space="preserve">               </w:t>
      </w:r>
    </w:p>
    <w:p>
      <w:pPr>
        <w:ind w:firstLine="1084" w:firstLineChars="300"/>
        <w:rPr>
          <w:rFonts w:ascii="仿宋" w:hAnsi="仿宋" w:eastAsia="仿宋"/>
          <w:b/>
          <w:color w:val="000000" w:themeColor="text1"/>
          <w:sz w:val="36"/>
          <w:highlight w:val="none"/>
          <w:u w:val="single"/>
          <w14:textFill>
            <w14:solidFill>
              <w14:schemeClr w14:val="tx1"/>
            </w14:solidFill>
          </w14:textFill>
        </w:rPr>
      </w:pPr>
      <w:r>
        <w:rPr>
          <w:rFonts w:ascii="仿宋" w:hAnsi="仿宋" w:eastAsia="仿宋"/>
          <w:b/>
          <w:color w:val="000000" w:themeColor="text1"/>
          <w:sz w:val="36"/>
          <w:highlight w:val="none"/>
          <w14:textFill>
            <w14:solidFill>
              <w14:schemeClr w14:val="tx1"/>
            </w14:solidFill>
          </w14:textFill>
        </w:rPr>
        <w:t>项 目 编 号：</w:t>
      </w:r>
      <w:r>
        <w:rPr>
          <w:rFonts w:ascii="仿宋" w:hAnsi="仿宋" w:eastAsia="仿宋"/>
          <w:b/>
          <w:color w:val="000000" w:themeColor="text1"/>
          <w:sz w:val="36"/>
          <w:highlight w:val="none"/>
          <w:u w:val="single"/>
          <w14:textFill>
            <w14:solidFill>
              <w14:schemeClr w14:val="tx1"/>
            </w14:solidFill>
          </w14:textFill>
        </w:rPr>
        <w:t xml:space="preserve">               </w:t>
      </w:r>
    </w:p>
    <w:p>
      <w:pPr>
        <w:rPr>
          <w:rFonts w:ascii="仿宋" w:hAnsi="仿宋" w:eastAsia="仿宋"/>
          <w:b/>
          <w:color w:val="000000" w:themeColor="text1"/>
          <w:sz w:val="36"/>
          <w:highlight w:val="none"/>
          <w14:textFill>
            <w14:solidFill>
              <w14:schemeClr w14:val="tx1"/>
            </w14:solidFill>
          </w14:textFill>
        </w:rPr>
      </w:pPr>
    </w:p>
    <w:p>
      <w:pPr>
        <w:rPr>
          <w:rFonts w:ascii="仿宋" w:hAnsi="仿宋" w:eastAsia="仿宋"/>
          <w:b/>
          <w:color w:val="000000" w:themeColor="text1"/>
          <w:sz w:val="36"/>
          <w:highlight w:val="none"/>
          <w14:textFill>
            <w14:solidFill>
              <w14:schemeClr w14:val="tx1"/>
            </w14:solidFill>
          </w14:textFill>
        </w:rPr>
      </w:pPr>
    </w:p>
    <w:p>
      <w:pPr>
        <w:rPr>
          <w:rFonts w:ascii="仿宋" w:hAnsi="仿宋" w:eastAsia="仿宋"/>
          <w:b/>
          <w:color w:val="000000" w:themeColor="text1"/>
          <w:sz w:val="36"/>
          <w:highlight w:val="none"/>
          <w14:textFill>
            <w14:solidFill>
              <w14:schemeClr w14:val="tx1"/>
            </w14:solidFill>
          </w14:textFill>
        </w:rPr>
      </w:pPr>
    </w:p>
    <w:p>
      <w:pPr>
        <w:rPr>
          <w:rFonts w:ascii="仿宋" w:hAnsi="仿宋" w:eastAsia="仿宋"/>
          <w:b/>
          <w:color w:val="000000" w:themeColor="text1"/>
          <w:sz w:val="36"/>
          <w:highlight w:val="none"/>
          <w14:textFill>
            <w14:solidFill>
              <w14:schemeClr w14:val="tx1"/>
            </w14:solidFill>
          </w14:textFill>
        </w:rPr>
      </w:pPr>
    </w:p>
    <w:p>
      <w:pPr>
        <w:rPr>
          <w:rFonts w:ascii="仿宋" w:hAnsi="仿宋" w:eastAsia="仿宋"/>
          <w:b/>
          <w:color w:val="000000" w:themeColor="text1"/>
          <w:sz w:val="36"/>
          <w:highlight w:val="none"/>
          <w14:textFill>
            <w14:solidFill>
              <w14:schemeClr w14:val="tx1"/>
            </w14:solidFill>
          </w14:textFill>
        </w:rPr>
      </w:pPr>
    </w:p>
    <w:p>
      <w:pPr>
        <w:rPr>
          <w:rFonts w:ascii="仿宋" w:hAnsi="仿宋" w:eastAsia="仿宋"/>
          <w:b/>
          <w:color w:val="000000" w:themeColor="text1"/>
          <w:sz w:val="36"/>
          <w:highlight w:val="none"/>
          <w:u w:val="single"/>
          <w14:textFill>
            <w14:solidFill>
              <w14:schemeClr w14:val="tx1"/>
            </w14:solidFill>
          </w14:textFill>
        </w:rPr>
      </w:pPr>
      <w:r>
        <w:rPr>
          <w:rFonts w:ascii="仿宋" w:hAnsi="仿宋" w:eastAsia="仿宋"/>
          <w:b/>
          <w:color w:val="000000" w:themeColor="text1"/>
          <w:sz w:val="36"/>
          <w:highlight w:val="none"/>
          <w14:textFill>
            <w14:solidFill>
              <w14:schemeClr w14:val="tx1"/>
            </w14:solidFill>
          </w14:textFill>
        </w:rPr>
        <w:t xml:space="preserve">      </w:t>
      </w:r>
      <w:r>
        <w:rPr>
          <w:rFonts w:hint="eastAsia" w:ascii="仿宋" w:hAnsi="仿宋" w:eastAsia="仿宋"/>
          <w:b/>
          <w:color w:val="000000" w:themeColor="text1"/>
          <w:sz w:val="36"/>
          <w:highlight w:val="none"/>
          <w14:textFill>
            <w14:solidFill>
              <w14:schemeClr w14:val="tx1"/>
            </w14:solidFill>
          </w14:textFill>
        </w:rPr>
        <w:t>供应商</w:t>
      </w:r>
      <w:r>
        <w:rPr>
          <w:rFonts w:ascii="仿宋" w:hAnsi="仿宋" w:eastAsia="仿宋"/>
          <w:b/>
          <w:color w:val="000000" w:themeColor="text1"/>
          <w:sz w:val="36"/>
          <w:highlight w:val="none"/>
          <w14:textFill>
            <w14:solidFill>
              <w14:schemeClr w14:val="tx1"/>
            </w14:solidFill>
          </w14:textFill>
        </w:rPr>
        <w:t>名称</w:t>
      </w:r>
      <w:r>
        <w:rPr>
          <w:rFonts w:hint="eastAsia" w:ascii="仿宋" w:hAnsi="仿宋" w:eastAsia="仿宋"/>
          <w:b/>
          <w:color w:val="000000" w:themeColor="text1"/>
          <w:sz w:val="36"/>
          <w:highlight w:val="none"/>
          <w14:textFill>
            <w14:solidFill>
              <w14:schemeClr w14:val="tx1"/>
            </w14:solidFill>
          </w14:textFill>
        </w:rPr>
        <w:t>（公章）</w:t>
      </w:r>
      <w:r>
        <w:rPr>
          <w:rFonts w:ascii="仿宋" w:hAnsi="仿宋" w:eastAsia="仿宋"/>
          <w:b/>
          <w:color w:val="000000" w:themeColor="text1"/>
          <w:sz w:val="36"/>
          <w:highlight w:val="none"/>
          <w14:textFill>
            <w14:solidFill>
              <w14:schemeClr w14:val="tx1"/>
            </w14:solidFill>
          </w14:textFill>
        </w:rPr>
        <w:t xml:space="preserve"> ：</w:t>
      </w:r>
      <w:r>
        <w:rPr>
          <w:rFonts w:ascii="仿宋" w:hAnsi="仿宋" w:eastAsia="仿宋"/>
          <w:b/>
          <w:color w:val="000000" w:themeColor="text1"/>
          <w:sz w:val="36"/>
          <w:highlight w:val="none"/>
          <w:u w:val="single"/>
          <w14:textFill>
            <w14:solidFill>
              <w14:schemeClr w14:val="tx1"/>
            </w14:solidFill>
          </w14:textFill>
        </w:rPr>
        <w:t xml:space="preserve">               </w:t>
      </w:r>
    </w:p>
    <w:p>
      <w:pPr>
        <w:rPr>
          <w:rFonts w:ascii="仿宋" w:hAnsi="仿宋" w:eastAsia="仿宋"/>
          <w:b/>
          <w:color w:val="000000" w:themeColor="text1"/>
          <w:sz w:val="36"/>
          <w:highlight w:val="none"/>
          <w14:textFill>
            <w14:solidFill>
              <w14:schemeClr w14:val="tx1"/>
            </w14:solidFill>
          </w14:textFill>
        </w:rPr>
      </w:pPr>
      <w:r>
        <w:rPr>
          <w:rFonts w:ascii="仿宋" w:hAnsi="仿宋" w:eastAsia="仿宋"/>
          <w:b/>
          <w:color w:val="000000" w:themeColor="text1"/>
          <w:sz w:val="36"/>
          <w:highlight w:val="none"/>
          <w14:textFill>
            <w14:solidFill>
              <w14:schemeClr w14:val="tx1"/>
            </w14:solidFill>
          </w14:textFill>
        </w:rPr>
        <w:t xml:space="preserve">       日      期 ：</w:t>
      </w:r>
      <w:r>
        <w:rPr>
          <w:rFonts w:ascii="仿宋" w:hAnsi="仿宋" w:eastAsia="仿宋"/>
          <w:b/>
          <w:color w:val="000000" w:themeColor="text1"/>
          <w:sz w:val="36"/>
          <w:highlight w:val="none"/>
          <w:u w:val="single"/>
          <w14:textFill>
            <w14:solidFill>
              <w14:schemeClr w14:val="tx1"/>
            </w14:solidFill>
          </w14:textFill>
        </w:rPr>
        <w:t xml:space="preserve">               </w:t>
      </w:r>
    </w:p>
    <w:p>
      <w:pPr>
        <w:spacing w:line="440" w:lineRule="exact"/>
        <w:ind w:firstLine="643"/>
        <w:jc w:val="center"/>
        <w:rPr>
          <w:rFonts w:ascii="仿宋" w:hAnsi="仿宋" w:eastAsia="仿宋"/>
          <w:b/>
          <w:bCs/>
          <w:color w:val="000000" w:themeColor="text1"/>
          <w:sz w:val="32"/>
          <w:szCs w:val="32"/>
          <w:highlight w:val="none"/>
          <w14:textFill>
            <w14:solidFill>
              <w14:schemeClr w14:val="tx1"/>
            </w14:solidFill>
          </w14:textFill>
        </w:rPr>
      </w:pPr>
    </w:p>
    <w:p>
      <w:pPr>
        <w:spacing w:line="480" w:lineRule="auto"/>
        <w:outlineLvl w:val="0"/>
        <w:rPr>
          <w:rFonts w:ascii="仿宋" w:hAnsi="仿宋" w:eastAsia="仿宋"/>
          <w:b/>
          <w:bCs/>
          <w:color w:val="000000" w:themeColor="text1"/>
          <w:highlight w:val="none"/>
          <w14:textFill>
            <w14:solidFill>
              <w14:schemeClr w14:val="tx1"/>
            </w14:solidFill>
          </w14:textFill>
        </w:rPr>
      </w:pPr>
    </w:p>
    <w:p>
      <w:pPr>
        <w:spacing w:line="480" w:lineRule="auto"/>
        <w:outlineLvl w:val="0"/>
        <w:rPr>
          <w:rFonts w:ascii="仿宋" w:hAnsi="仿宋" w:eastAsia="仿宋"/>
          <w:b/>
          <w:bCs/>
          <w:color w:val="000000" w:themeColor="text1"/>
          <w:highlight w:val="none"/>
          <w14:textFill>
            <w14:solidFill>
              <w14:schemeClr w14:val="tx1"/>
            </w14:solidFill>
          </w14:textFill>
        </w:rPr>
      </w:pPr>
    </w:p>
    <w:p>
      <w:pPr>
        <w:pStyle w:val="24"/>
        <w:ind w:firstLine="402"/>
        <w:rPr>
          <w:rFonts w:ascii="仿宋" w:hAnsi="仿宋" w:eastAsia="仿宋"/>
          <w:b/>
          <w:bCs/>
          <w:color w:val="000000" w:themeColor="text1"/>
          <w:highlight w:val="none"/>
          <w14:textFill>
            <w14:solidFill>
              <w14:schemeClr w14:val="tx1"/>
            </w14:solidFill>
          </w14:textFill>
        </w:rPr>
      </w:pPr>
    </w:p>
    <w:p>
      <w:pPr>
        <w:spacing w:line="480" w:lineRule="auto"/>
        <w:jc w:val="center"/>
        <w:outlineLvl w:val="0"/>
        <w:rPr>
          <w:rFonts w:ascii="仿宋" w:hAnsi="仿宋" w:eastAsia="仿宋"/>
          <w:b/>
          <w:color w:val="000000" w:themeColor="text1"/>
          <w:sz w:val="44"/>
          <w:szCs w:val="21"/>
          <w:highlight w:val="none"/>
          <w14:textFill>
            <w14:solidFill>
              <w14:schemeClr w14:val="tx1"/>
            </w14:solidFill>
          </w14:textFill>
        </w:rPr>
      </w:pPr>
      <w:r>
        <w:rPr>
          <w:rFonts w:hint="eastAsia" w:ascii="仿宋" w:hAnsi="仿宋" w:eastAsia="仿宋"/>
          <w:b/>
          <w:color w:val="000000" w:themeColor="text1"/>
          <w:sz w:val="44"/>
          <w:szCs w:val="21"/>
          <w:highlight w:val="none"/>
          <w14:textFill>
            <w14:solidFill>
              <w14:schemeClr w14:val="tx1"/>
            </w14:solidFill>
          </w14:textFill>
        </w:rPr>
        <w:t xml:space="preserve">响 应 文 件 目 录 </w:t>
      </w:r>
    </w:p>
    <w:p>
      <w:pPr>
        <w:snapToGrid w:val="0"/>
        <w:spacing w:line="360" w:lineRule="auto"/>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（一）实质性资格证明文件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★1、法定代表人身份证复印件 </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★2、授权委托书（如有授权必须提供，格式参见附件）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★3、代理人身份证复印件（如有授权必须提供）</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★4、声明函（格式参见附件）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★5、响应函（格式参见附件）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★6、工商营业执照副本复印件（三证合一）</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★7、供应商情况表（格式参见附件）</w:t>
      </w:r>
    </w:p>
    <w:p>
      <w:pPr>
        <w:snapToGrid w:val="0"/>
        <w:spacing w:line="360" w:lineRule="auto"/>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（二）商务及技术部分文件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★1、报价一览表（格式参见附件）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、偏离表（格式参见附件）</w:t>
      </w:r>
    </w:p>
    <w:p>
      <w:pPr>
        <w:snapToGrid w:val="0"/>
        <w:spacing w:line="360" w:lineRule="auto"/>
        <w:ind w:firstLine="562"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（三）非实质性资信证明文件目录（如果有的话请提供）</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1、供应商认为可以证明其能力或业绩的其他材料----包含成功案例、业绩证明（供应商同类项目实施情况一览表、合同复印件）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2、供应商的信誉、荣誉、获奖证书或文件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3、供应商质量保证体系、环境保证体系等方面的认证证书</w:t>
      </w:r>
    </w:p>
    <w:p>
      <w:pPr>
        <w:snapToGrid w:val="0"/>
        <w:spacing w:line="360" w:lineRule="auto"/>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（四）竞争性谈判文件要求供应商提供的和供应商认为与本项目评审有关的并可以提供的其它相关的证明材料（如果有的话请提供）。</w:t>
      </w:r>
    </w:p>
    <w:p>
      <w:pPr>
        <w:snapToGrid w:val="0"/>
        <w:spacing w:line="360" w:lineRule="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注：1.上述带★材料必须在响应文件中提供，否则将作为无效响应文件处理；</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2.提供复印件的须加盖供应商公章，且复印件内容应清晰可辨，必要时谈判小组有权要求提供原件或公证件进行核对；</w:t>
      </w:r>
    </w:p>
    <w:p>
      <w:pPr>
        <w:snapToGrid w:val="0"/>
        <w:spacing w:line="360" w:lineRule="auto"/>
        <w:ind w:firstLine="560" w:firstLineChars="200"/>
        <w:rPr>
          <w:bCs/>
          <w:color w:val="000000" w:themeColor="text1"/>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3.本章中的所有的附件格式供参考，供应商可根据自身情况进行补充和修改，但补充和修改不得与本章附件格式内容有实质性的违背。</w:t>
      </w:r>
      <w:r>
        <w:rPr>
          <w:color w:val="000000" w:themeColor="text1"/>
          <w:sz w:val="22"/>
          <w:szCs w:val="28"/>
          <w:highlight w:val="none"/>
          <w14:textFill>
            <w14:solidFill>
              <w14:schemeClr w14:val="tx1"/>
            </w14:solidFill>
          </w14:textFill>
        </w:rPr>
        <w:br w:type="page"/>
      </w:r>
      <w:r>
        <w:rPr>
          <w:rFonts w:hint="eastAsia" w:ascii="仿宋" w:hAnsi="仿宋" w:eastAsia="仿宋"/>
          <w:b/>
          <w:bCs/>
          <w:color w:val="000000" w:themeColor="text1"/>
          <w:sz w:val="24"/>
          <w:szCs w:val="21"/>
          <w:highlight w:val="none"/>
          <w14:textFill>
            <w14:solidFill>
              <w14:schemeClr w14:val="tx1"/>
            </w14:solidFill>
          </w14:textFill>
        </w:rPr>
        <w:t>附件1：（如有授权必须提供）</w:t>
      </w:r>
    </w:p>
    <w:p>
      <w:pPr>
        <w:pStyle w:val="4"/>
        <w:jc w:val="center"/>
        <w:rPr>
          <w:rFonts w:ascii="仿宋" w:hAnsi="仿宋" w:eastAsia="仿宋"/>
          <w:bCs/>
          <w:color w:val="000000" w:themeColor="text1"/>
          <w:kern w:val="2"/>
          <w:sz w:val="36"/>
          <w:szCs w:val="22"/>
          <w:highlight w:val="none"/>
          <w:u w:val="none"/>
          <w14:textFill>
            <w14:solidFill>
              <w14:schemeClr w14:val="tx1"/>
            </w14:solidFill>
          </w14:textFill>
        </w:rPr>
      </w:pPr>
      <w:r>
        <w:rPr>
          <w:rFonts w:hint="eastAsia" w:ascii="仿宋" w:hAnsi="仿宋" w:eastAsia="仿宋"/>
          <w:bCs/>
          <w:color w:val="000000" w:themeColor="text1"/>
          <w:kern w:val="2"/>
          <w:sz w:val="36"/>
          <w:szCs w:val="22"/>
          <w:highlight w:val="none"/>
          <w:u w:val="none"/>
          <w14:textFill>
            <w14:solidFill>
              <w14:schemeClr w14:val="tx1"/>
            </w14:solidFill>
          </w14:textFill>
        </w:rPr>
        <w:t>授权委托书</w:t>
      </w:r>
    </w:p>
    <w:p>
      <w:pPr>
        <w:pStyle w:val="51"/>
        <w:spacing w:line="480" w:lineRule="auto"/>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本授权委托书声明：____________（供应商名称）授权________________（被授权人的姓名）为我方就</w:t>
      </w:r>
      <w:r>
        <w:rPr>
          <w:rFonts w:hint="eastAsia" w:ascii="仿宋" w:hAnsi="仿宋" w:eastAsia="仿宋"/>
          <w:color w:val="000000" w:themeColor="text1"/>
          <w:highlight w:val="none"/>
          <w:lang w:eastAsia="zh-CN"/>
          <w14:textFill>
            <w14:solidFill>
              <w14:schemeClr w14:val="tx1"/>
            </w14:solidFill>
          </w14:textFill>
        </w:rPr>
        <w:t>ZYJS-SJ2024002</w:t>
      </w:r>
      <w:r>
        <w:rPr>
          <w:rFonts w:hint="eastAsia" w:ascii="仿宋" w:hAnsi="仿宋" w:eastAsia="仿宋"/>
          <w:color w:val="000000" w:themeColor="text1"/>
          <w:highlight w:val="none"/>
          <w14:textFill>
            <w14:solidFill>
              <w14:schemeClr w14:val="tx1"/>
            </w14:solidFill>
          </w14:textFill>
        </w:rPr>
        <w:t>号项目竞争性谈判活动的合法代理人，以本公司名义全权处理一切与该项目竞争性谈判有关的事务，我单位均予以承认。</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代理人无转委托权。</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代理人的代理期限为自本授权委托书签署之日起至项目合同履行完毕止。</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代理人在授权委托书有效期内签署的所有文件不因授权委托的撤销而失效，本授权委托书的有效期与代理人的代理期限一致。</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特此声明。</w:t>
      </w:r>
    </w:p>
    <w:p>
      <w:pPr>
        <w:pStyle w:val="51"/>
        <w:spacing w:line="480" w:lineRule="auto"/>
        <w:rPr>
          <w:rFonts w:ascii="仿宋" w:hAnsi="仿宋" w:eastAsia="仿宋"/>
          <w:color w:val="000000" w:themeColor="text1"/>
          <w:highlight w:val="none"/>
          <w14:textFill>
            <w14:solidFill>
              <w14:schemeClr w14:val="tx1"/>
            </w14:solidFill>
          </w14:textFill>
        </w:rPr>
      </w:pP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bCs/>
          <w:color w:val="000000" w:themeColor="text1"/>
          <w:highlight w:val="none"/>
          <w14:textFill>
            <w14:solidFill>
              <w14:schemeClr w14:val="tx1"/>
            </w14:solidFill>
          </w14:textFill>
        </w:rPr>
        <w:t>供应商</w:t>
      </w:r>
      <w:r>
        <w:rPr>
          <w:rFonts w:hint="eastAsia" w:ascii="仿宋" w:hAnsi="仿宋" w:eastAsia="仿宋"/>
          <w:color w:val="000000" w:themeColor="text1"/>
          <w:highlight w:val="none"/>
          <w14:textFill>
            <w14:solidFill>
              <w14:schemeClr w14:val="tx1"/>
            </w14:solidFill>
          </w14:textFill>
        </w:rPr>
        <w:t>（盖章）：</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法定代表人（签字或盖章）：</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身份证号码：</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代理人：（签字或盖章）</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通讯地址：                   </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通讯电话：</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邮箱：</w:t>
      </w:r>
    </w:p>
    <w:p>
      <w:pPr>
        <w:pStyle w:val="51"/>
        <w:spacing w:line="480" w:lineRule="auto"/>
        <w:ind w:firstLine="480"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身份证号码：</w:t>
      </w:r>
    </w:p>
    <w:p>
      <w:pPr>
        <w:pStyle w:val="51"/>
        <w:spacing w:line="480" w:lineRule="auto"/>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 xml:space="preserve">                                                              年    月     日</w:t>
      </w:r>
    </w:p>
    <w:p>
      <w:pPr>
        <w:pStyle w:val="6"/>
        <w:ind w:firstLine="0"/>
        <w:rPr>
          <w:rFonts w:ascii="仿宋" w:hAnsi="仿宋" w:eastAsia="仿宋"/>
          <w:color w:val="000000" w:themeColor="text1"/>
          <w:highlight w:val="none"/>
          <w14:textFill>
            <w14:solidFill>
              <w14:schemeClr w14:val="tx1"/>
            </w14:solidFill>
          </w14:textFill>
        </w:rPr>
      </w:pPr>
    </w:p>
    <w:p>
      <w:pPr>
        <w:pStyle w:val="4"/>
        <w:rPr>
          <w:rFonts w:ascii="仿宋" w:hAnsi="仿宋" w:eastAsia="仿宋"/>
          <w:bCs/>
          <w:color w:val="000000" w:themeColor="text1"/>
          <w:kern w:val="2"/>
          <w:szCs w:val="21"/>
          <w:highlight w:val="none"/>
          <w:u w:val="none"/>
          <w14:textFill>
            <w14:solidFill>
              <w14:schemeClr w14:val="tx1"/>
            </w14:solidFill>
          </w14:textFill>
        </w:rPr>
      </w:pPr>
      <w:r>
        <w:rPr>
          <w:rFonts w:hint="eastAsia" w:ascii="仿宋" w:hAnsi="仿宋" w:eastAsia="仿宋"/>
          <w:bCs/>
          <w:color w:val="000000" w:themeColor="text1"/>
          <w:kern w:val="2"/>
          <w:szCs w:val="21"/>
          <w:highlight w:val="none"/>
          <w:u w:val="none"/>
          <w14:textFill>
            <w14:solidFill>
              <w14:schemeClr w14:val="tx1"/>
            </w14:solidFill>
          </w14:textFill>
        </w:rPr>
        <w:t>附件2：（必须提供）</w:t>
      </w:r>
    </w:p>
    <w:p>
      <w:pPr>
        <w:pStyle w:val="4"/>
        <w:rPr>
          <w:rFonts w:ascii="仿宋" w:hAnsi="仿宋" w:eastAsia="仿宋"/>
          <w:bCs/>
          <w:color w:val="000000" w:themeColor="text1"/>
          <w:kern w:val="2"/>
          <w:szCs w:val="21"/>
          <w:highlight w:val="none"/>
          <w14:textFill>
            <w14:solidFill>
              <w14:schemeClr w14:val="tx1"/>
            </w14:solidFill>
          </w14:textFill>
        </w:rPr>
      </w:pPr>
    </w:p>
    <w:p>
      <w:pPr>
        <w:spacing w:line="460" w:lineRule="exact"/>
        <w:jc w:val="center"/>
        <w:rPr>
          <w:rFonts w:ascii="仿宋" w:hAnsi="仿宋" w:eastAsia="仿宋"/>
          <w:b/>
          <w:bCs/>
          <w:color w:val="000000" w:themeColor="text1"/>
          <w:sz w:val="36"/>
          <w:szCs w:val="22"/>
          <w:highlight w:val="none"/>
          <w14:textFill>
            <w14:solidFill>
              <w14:schemeClr w14:val="tx1"/>
            </w14:solidFill>
          </w14:textFill>
        </w:rPr>
      </w:pPr>
      <w:r>
        <w:rPr>
          <w:rFonts w:hint="eastAsia" w:ascii="仿宋" w:hAnsi="仿宋" w:eastAsia="仿宋"/>
          <w:b/>
          <w:bCs/>
          <w:color w:val="000000" w:themeColor="text1"/>
          <w:sz w:val="36"/>
          <w:szCs w:val="22"/>
          <w:highlight w:val="none"/>
          <w14:textFill>
            <w14:solidFill>
              <w14:schemeClr w14:val="tx1"/>
            </w14:solidFill>
          </w14:textFill>
        </w:rPr>
        <w:t>声 明 函</w:t>
      </w:r>
    </w:p>
    <w:p>
      <w:pPr>
        <w:spacing w:line="460" w:lineRule="exact"/>
        <w:rPr>
          <w:rFonts w:ascii="仿宋" w:hAnsi="仿宋" w:eastAsia="仿宋"/>
          <w:b/>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 xml:space="preserve"> 本公司在此郑重声明：</w:t>
      </w:r>
    </w:p>
    <w:p>
      <w:pPr>
        <w:spacing w:line="460" w:lineRule="exact"/>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1.本公司是有良好的商业信誉和健全的财务会计制度的；</w:t>
      </w:r>
    </w:p>
    <w:p>
      <w:pPr>
        <w:spacing w:line="460" w:lineRule="exact"/>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2.本公司是具有履行合同所必需的设备和专业技术能力的；</w:t>
      </w:r>
    </w:p>
    <w:p>
      <w:pPr>
        <w:spacing w:line="460" w:lineRule="exact"/>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3.本公司是依法缴纳税收和社会保障资金的；</w:t>
      </w:r>
    </w:p>
    <w:p>
      <w:pPr>
        <w:spacing w:line="460" w:lineRule="exact"/>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4.本公司参加招标活动前二年内，在经营活动中无重大违法记录，无不良行为记录，无其他法律、行政法规规定的禁止参与招投标活动的行为；</w:t>
      </w:r>
    </w:p>
    <w:p>
      <w:pPr>
        <w:spacing w:line="460" w:lineRule="exact"/>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5.本公司提交的响应文件中所有关于供应商资格的文件、证明和陈述均是真实的、准确的。</w:t>
      </w:r>
    </w:p>
    <w:p>
      <w:pPr>
        <w:spacing w:line="460" w:lineRule="exact"/>
        <w:ind w:firstLine="480" w:firstLineChars="200"/>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若与真实情况不符，本公司愿意承担由此而产生的一切后果。</w:t>
      </w: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ab/>
      </w:r>
      <w:r>
        <w:rPr>
          <w:rFonts w:hint="eastAsia" w:ascii="仿宋" w:hAnsi="仿宋" w:eastAsia="仿宋"/>
          <w:bCs/>
          <w:color w:val="000000" w:themeColor="text1"/>
          <w:sz w:val="24"/>
          <w:highlight w:val="none"/>
          <w14:textFill>
            <w14:solidFill>
              <w14:schemeClr w14:val="tx1"/>
            </w14:solidFill>
          </w14:textFill>
        </w:rPr>
        <w:tab/>
      </w:r>
      <w:r>
        <w:rPr>
          <w:rFonts w:hint="eastAsia" w:ascii="仿宋" w:hAnsi="仿宋" w:eastAsia="仿宋"/>
          <w:bCs/>
          <w:color w:val="000000" w:themeColor="text1"/>
          <w:sz w:val="24"/>
          <w:highlight w:val="none"/>
          <w14:textFill>
            <w14:solidFill>
              <w14:schemeClr w14:val="tx1"/>
            </w14:solidFill>
          </w14:textFill>
        </w:rPr>
        <w:tab/>
      </w:r>
      <w:r>
        <w:rPr>
          <w:rFonts w:hint="eastAsia" w:ascii="仿宋" w:hAnsi="仿宋" w:eastAsia="仿宋"/>
          <w:bCs/>
          <w:color w:val="000000" w:themeColor="text1"/>
          <w:sz w:val="24"/>
          <w:highlight w:val="none"/>
          <w14:textFill>
            <w14:solidFill>
              <w14:schemeClr w14:val="tx1"/>
            </w14:solidFill>
          </w14:textFill>
        </w:rPr>
        <w:tab/>
      </w:r>
      <w:r>
        <w:rPr>
          <w:rFonts w:hint="eastAsia" w:ascii="仿宋" w:hAnsi="仿宋" w:eastAsia="仿宋"/>
          <w:bCs/>
          <w:color w:val="000000" w:themeColor="text1"/>
          <w:sz w:val="24"/>
          <w:highlight w:val="none"/>
          <w14:textFill>
            <w14:solidFill>
              <w14:schemeClr w14:val="tx1"/>
            </w14:solidFill>
          </w14:textFill>
        </w:rPr>
        <w:t xml:space="preserve">        法定代表人或</w:t>
      </w:r>
      <w:r>
        <w:rPr>
          <w:rFonts w:hint="eastAsia" w:ascii="仿宋" w:hAnsi="仿宋" w:eastAsia="仿宋"/>
          <w:color w:val="000000" w:themeColor="text1"/>
          <w:sz w:val="24"/>
          <w:highlight w:val="none"/>
          <w14:textFill>
            <w14:solidFill>
              <w14:schemeClr w14:val="tx1"/>
            </w14:solidFill>
          </w14:textFill>
        </w:rPr>
        <w:t>授权</w:t>
      </w:r>
      <w:r>
        <w:rPr>
          <w:rFonts w:hint="eastAsia" w:ascii="仿宋" w:hAnsi="仿宋" w:eastAsia="仿宋"/>
          <w:bCs/>
          <w:color w:val="000000" w:themeColor="text1"/>
          <w:sz w:val="24"/>
          <w:highlight w:val="none"/>
          <w14:textFill>
            <w14:solidFill>
              <w14:schemeClr w14:val="tx1"/>
            </w14:solidFill>
          </w14:textFill>
        </w:rPr>
        <w:t>代理人（签字或盖章）：</w:t>
      </w:r>
    </w:p>
    <w:p>
      <w:pPr>
        <w:spacing w:line="460" w:lineRule="exac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 xml:space="preserve">                          供应商名称（盖章）：</w:t>
      </w: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jc w:val="righ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年</w:t>
      </w:r>
      <w:r>
        <w:rPr>
          <w:rFonts w:hint="eastAsia" w:ascii="仿宋" w:hAnsi="仿宋" w:eastAsia="仿宋"/>
          <w:bCs/>
          <w:color w:val="000000" w:themeColor="text1"/>
          <w:sz w:val="24"/>
          <w:highlight w:val="none"/>
          <w14:textFill>
            <w14:solidFill>
              <w14:schemeClr w14:val="tx1"/>
            </w14:solidFill>
          </w14:textFill>
        </w:rPr>
        <w:tab/>
      </w:r>
      <w:r>
        <w:rPr>
          <w:rFonts w:hint="eastAsia" w:ascii="仿宋" w:hAnsi="仿宋" w:eastAsia="仿宋"/>
          <w:bCs/>
          <w:color w:val="000000" w:themeColor="text1"/>
          <w:sz w:val="24"/>
          <w:highlight w:val="none"/>
          <w14:textFill>
            <w14:solidFill>
              <w14:schemeClr w14:val="tx1"/>
            </w14:solidFill>
          </w14:textFill>
        </w:rPr>
        <w:t xml:space="preserve"> 月 </w:t>
      </w:r>
      <w:r>
        <w:rPr>
          <w:rFonts w:hint="eastAsia" w:ascii="仿宋" w:hAnsi="仿宋" w:eastAsia="仿宋"/>
          <w:bCs/>
          <w:color w:val="000000" w:themeColor="text1"/>
          <w:sz w:val="24"/>
          <w:highlight w:val="none"/>
          <w14:textFill>
            <w14:solidFill>
              <w14:schemeClr w14:val="tx1"/>
            </w14:solidFill>
          </w14:textFill>
        </w:rPr>
        <w:tab/>
      </w:r>
      <w:r>
        <w:rPr>
          <w:rFonts w:hint="eastAsia" w:ascii="仿宋" w:hAnsi="仿宋" w:eastAsia="仿宋"/>
          <w:bCs/>
          <w:color w:val="000000" w:themeColor="text1"/>
          <w:sz w:val="24"/>
          <w:highlight w:val="none"/>
          <w14:textFill>
            <w14:solidFill>
              <w14:schemeClr w14:val="tx1"/>
            </w14:solidFill>
          </w14:textFill>
        </w:rPr>
        <w:t>日</w:t>
      </w: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spacing w:line="460" w:lineRule="exact"/>
        <w:rPr>
          <w:rFonts w:ascii="仿宋" w:hAnsi="仿宋" w:eastAsia="仿宋"/>
          <w:bCs/>
          <w:color w:val="000000" w:themeColor="text1"/>
          <w:sz w:val="24"/>
          <w:highlight w:val="none"/>
          <w14:textFill>
            <w14:solidFill>
              <w14:schemeClr w14:val="tx1"/>
            </w14:solidFill>
          </w14:textFill>
        </w:rPr>
      </w:pPr>
    </w:p>
    <w:p>
      <w:pPr>
        <w:pStyle w:val="4"/>
        <w:jc w:val="both"/>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kern w:val="2"/>
          <w:szCs w:val="21"/>
          <w:highlight w:val="none"/>
          <w:u w:val="none"/>
          <w14:textFill>
            <w14:solidFill>
              <w14:schemeClr w14:val="tx1"/>
            </w14:solidFill>
          </w14:textFill>
        </w:rPr>
        <w:t>附件3：</w:t>
      </w:r>
      <w:r>
        <w:rPr>
          <w:rFonts w:hint="eastAsia" w:ascii="仿宋" w:hAnsi="仿宋" w:eastAsia="仿宋"/>
          <w:bCs/>
          <w:color w:val="000000" w:themeColor="text1"/>
          <w:kern w:val="2"/>
          <w:szCs w:val="21"/>
          <w:highlight w:val="none"/>
          <w:u w:val="none"/>
          <w14:textFill>
            <w14:solidFill>
              <w14:schemeClr w14:val="tx1"/>
            </w14:solidFill>
          </w14:textFill>
        </w:rPr>
        <w:t>（必须提供）</w:t>
      </w:r>
    </w:p>
    <w:p>
      <w:pPr>
        <w:pStyle w:val="4"/>
        <w:jc w:val="center"/>
        <w:rPr>
          <w:rFonts w:ascii="仿宋" w:hAnsi="仿宋" w:eastAsia="仿宋"/>
          <w:bCs/>
          <w:color w:val="000000" w:themeColor="text1"/>
          <w:kern w:val="2"/>
          <w:sz w:val="36"/>
          <w:szCs w:val="22"/>
          <w:highlight w:val="none"/>
          <w:u w:val="none"/>
          <w14:textFill>
            <w14:solidFill>
              <w14:schemeClr w14:val="tx1"/>
            </w14:solidFill>
          </w14:textFill>
        </w:rPr>
      </w:pPr>
      <w:r>
        <w:rPr>
          <w:rFonts w:hint="eastAsia" w:ascii="仿宋" w:hAnsi="仿宋" w:eastAsia="仿宋"/>
          <w:bCs/>
          <w:color w:val="000000" w:themeColor="text1"/>
          <w:kern w:val="2"/>
          <w:sz w:val="36"/>
          <w:szCs w:val="22"/>
          <w:highlight w:val="none"/>
          <w:u w:val="none"/>
          <w14:textFill>
            <w14:solidFill>
              <w14:schemeClr w14:val="tx1"/>
            </w14:solidFill>
          </w14:textFill>
        </w:rPr>
        <w:t>响 应 函</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致：常州中宇建设工程管理有限公司</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我公司收到贵单位的竞争性谈判文件，经仔细阅读和研究，我公司决定参加项目编号：</w:t>
      </w:r>
      <w:r>
        <w:rPr>
          <w:rFonts w:hint="eastAsia" w:ascii="仿宋" w:hAnsi="仿宋" w:eastAsia="仿宋" w:cs="仿宋"/>
          <w:color w:val="000000" w:themeColor="text1"/>
          <w:kern w:val="2"/>
          <w:szCs w:val="21"/>
          <w:highlight w:val="none"/>
          <w:lang w:eastAsia="zh-CN"/>
          <w14:textFill>
            <w14:solidFill>
              <w14:schemeClr w14:val="tx1"/>
            </w14:solidFill>
          </w14:textFill>
        </w:rPr>
        <w:t>ZYJS-SJ2024002</w:t>
      </w:r>
      <w:r>
        <w:rPr>
          <w:rFonts w:hint="eastAsia" w:ascii="仿宋" w:hAnsi="仿宋" w:eastAsia="仿宋" w:cs="仿宋"/>
          <w:color w:val="000000" w:themeColor="text1"/>
          <w:kern w:val="2"/>
          <w:szCs w:val="21"/>
          <w:highlight w:val="none"/>
          <w14:textFill>
            <w14:solidFill>
              <w14:schemeClr w14:val="tx1"/>
            </w14:solidFill>
          </w14:textFill>
        </w:rPr>
        <w:t xml:space="preserve"> 项目的竞争性谈判活动。据此函，我公司兹宣布同意如下：</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1、按竞争性谈判文件规定的各项要求，向采购人提供所需内容。</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2、如果我们的响应文件被接受，我们将严格履行竞争性谈判文件中规定的每一项要求，按期、按质、按量履行合同的义务。</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3、我们已详细审查全部竞争性谈判文件，包括补充文件(如果有的话)，我们同意放弃提出含糊不清或误解问题的权利。</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4、我们同意从规定的开标日期起遵循本响应文件，并在规定的投标有效期期满之前均具有约束力。</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5、我们愿意提供采购人在竞争性谈判文件中要求的所有资料及贵方可能另外要求的与投标有关的任何证据或资料，并保证我方已提供和将要提供的文件是真实的、准确的。</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6、我们愿意遵守竞争性谈判文件中所列的服务费收费标准。</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7、我们愿意按竞争性谈判文件的规定交纳谈判保证金，并同意供应商须知中关于谈判保证金不予退还的规定。</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8、如果我们成交，我们愿意按竞争性谈判文件的规定支付成交服务费，并缴纳履约保证金。</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9、如果我方成交,我方将根据竞争性谈判文件的规定，严格履行合同的责任和义务,并保证在竞争性谈判文件规定的时间完成项目，交付采购人验收、使用。</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10.与本投标有关的正式通讯地址为：</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地    址：                             邮    编：</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电    话：                             传    真：</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供应商开户行：</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 xml:space="preserve">账    户： </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纳税人识别号：</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供应商（公章）：</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 xml:space="preserve">法定代表人或授权代理人（签字或盖章）： </w:t>
      </w:r>
    </w:p>
    <w:p>
      <w:pPr>
        <w:pStyle w:val="54"/>
        <w:spacing w:before="0" w:after="0" w:line="420" w:lineRule="exact"/>
        <w:ind w:firstLineChars="200"/>
        <w:rPr>
          <w:rFonts w:ascii="仿宋" w:hAnsi="仿宋" w:eastAsia="仿宋" w:cs="仿宋"/>
          <w:color w:val="000000" w:themeColor="text1"/>
          <w:kern w:val="2"/>
          <w:szCs w:val="21"/>
          <w:highlight w:val="none"/>
          <w14:textFill>
            <w14:solidFill>
              <w14:schemeClr w14:val="tx1"/>
            </w14:solidFill>
          </w14:textFill>
        </w:rPr>
      </w:pPr>
      <w:r>
        <w:rPr>
          <w:rFonts w:hint="eastAsia" w:ascii="仿宋" w:hAnsi="仿宋" w:eastAsia="仿宋" w:cs="仿宋"/>
          <w:color w:val="000000" w:themeColor="text1"/>
          <w:kern w:val="2"/>
          <w:szCs w:val="21"/>
          <w:highlight w:val="none"/>
          <w14:textFill>
            <w14:solidFill>
              <w14:schemeClr w14:val="tx1"/>
            </w14:solidFill>
          </w14:textFill>
        </w:rPr>
        <w:t>日   期：________年____月____日</w:t>
      </w:r>
    </w:p>
    <w:p>
      <w:pPr>
        <w:snapToGrid w:val="0"/>
        <w:spacing w:before="50" w:after="156" w:afterLines="50"/>
        <w:jc w:val="left"/>
        <w:rPr>
          <w:rFonts w:ascii="仿宋" w:hAnsi="仿宋" w:eastAsia="仿宋"/>
          <w:color w:val="000000" w:themeColor="text1"/>
          <w:sz w:val="24"/>
          <w:szCs w:val="20"/>
          <w:highlight w:val="none"/>
          <w14:textFill>
            <w14:solidFill>
              <w14:schemeClr w14:val="tx1"/>
            </w14:solidFill>
          </w14:textFill>
        </w:rPr>
      </w:pPr>
    </w:p>
    <w:p>
      <w:pPr>
        <w:pStyle w:val="4"/>
        <w:rPr>
          <w:rFonts w:ascii="仿宋" w:hAnsi="仿宋" w:eastAsia="仿宋"/>
          <w:bCs/>
          <w:color w:val="000000" w:themeColor="text1"/>
          <w:kern w:val="2"/>
          <w:szCs w:val="21"/>
          <w:highlight w:val="none"/>
          <w14:textFill>
            <w14:solidFill>
              <w14:schemeClr w14:val="tx1"/>
            </w14:solidFill>
          </w14:textFill>
        </w:rPr>
      </w:pPr>
      <w:r>
        <w:rPr>
          <w:rFonts w:ascii="仿宋" w:hAnsi="仿宋" w:eastAsia="仿宋"/>
          <w:b w:val="0"/>
          <w:color w:val="000000" w:themeColor="text1"/>
          <w:sz w:val="36"/>
          <w:szCs w:val="36"/>
          <w:highlight w:val="none"/>
          <w14:textFill>
            <w14:solidFill>
              <w14:schemeClr w14:val="tx1"/>
            </w14:solidFill>
          </w14:textFill>
        </w:rPr>
        <w:br w:type="page"/>
      </w:r>
      <w:r>
        <w:rPr>
          <w:rFonts w:hint="eastAsia" w:ascii="仿宋" w:hAnsi="仿宋" w:eastAsia="仿宋"/>
          <w:color w:val="000000" w:themeColor="text1"/>
          <w:kern w:val="2"/>
          <w:szCs w:val="21"/>
          <w:highlight w:val="none"/>
          <w:u w:val="none"/>
          <w14:textFill>
            <w14:solidFill>
              <w14:schemeClr w14:val="tx1"/>
            </w14:solidFill>
          </w14:textFill>
        </w:rPr>
        <w:t>附件</w:t>
      </w:r>
      <w:r>
        <w:rPr>
          <w:rFonts w:hint="eastAsia" w:ascii="仿宋" w:hAnsi="仿宋" w:eastAsia="仿宋"/>
          <w:bCs/>
          <w:color w:val="000000" w:themeColor="text1"/>
          <w:kern w:val="2"/>
          <w:szCs w:val="21"/>
          <w:highlight w:val="none"/>
          <w:u w:val="none"/>
          <w14:textFill>
            <w14:solidFill>
              <w14:schemeClr w14:val="tx1"/>
            </w14:solidFill>
          </w14:textFill>
        </w:rPr>
        <w:t>4</w:t>
      </w:r>
      <w:r>
        <w:rPr>
          <w:rFonts w:hint="eastAsia" w:ascii="仿宋" w:hAnsi="仿宋" w:eastAsia="仿宋"/>
          <w:color w:val="000000" w:themeColor="text1"/>
          <w:kern w:val="2"/>
          <w:szCs w:val="21"/>
          <w:highlight w:val="none"/>
          <w:u w:val="none"/>
          <w14:textFill>
            <w14:solidFill>
              <w14:schemeClr w14:val="tx1"/>
            </w14:solidFill>
          </w14:textFill>
        </w:rPr>
        <w:t>：</w:t>
      </w:r>
      <w:r>
        <w:rPr>
          <w:rFonts w:hint="eastAsia" w:ascii="仿宋" w:hAnsi="仿宋" w:eastAsia="仿宋"/>
          <w:bCs/>
          <w:color w:val="000000" w:themeColor="text1"/>
          <w:kern w:val="2"/>
          <w:szCs w:val="21"/>
          <w:highlight w:val="none"/>
          <w:u w:val="none"/>
          <w14:textFill>
            <w14:solidFill>
              <w14:schemeClr w14:val="tx1"/>
            </w14:solidFill>
          </w14:textFill>
        </w:rPr>
        <w:t>（必须提供）</w:t>
      </w:r>
    </w:p>
    <w:p>
      <w:pPr>
        <w:pStyle w:val="4"/>
        <w:ind w:firstLine="723"/>
        <w:jc w:val="center"/>
        <w:rPr>
          <w:rFonts w:ascii="仿宋" w:hAnsi="仿宋" w:eastAsia="仿宋"/>
          <w:color w:val="000000" w:themeColor="text1"/>
          <w:kern w:val="2"/>
          <w:sz w:val="36"/>
          <w:szCs w:val="22"/>
          <w:highlight w:val="none"/>
          <w:u w:val="none"/>
          <w14:textFill>
            <w14:solidFill>
              <w14:schemeClr w14:val="tx1"/>
            </w14:solidFill>
          </w14:textFill>
        </w:rPr>
      </w:pPr>
      <w:r>
        <w:rPr>
          <w:rFonts w:hint="eastAsia" w:ascii="仿宋" w:hAnsi="仿宋" w:eastAsia="仿宋"/>
          <w:color w:val="000000" w:themeColor="text1"/>
          <w:kern w:val="2"/>
          <w:sz w:val="36"/>
          <w:szCs w:val="22"/>
          <w:highlight w:val="none"/>
          <w:u w:val="none"/>
          <w14:textFill>
            <w14:solidFill>
              <w14:schemeClr w14:val="tx1"/>
            </w14:solidFill>
          </w14:textFill>
        </w:rPr>
        <w:t>供 应 商 情 况 表</w:t>
      </w:r>
    </w:p>
    <w:p>
      <w:pPr>
        <w:pStyle w:val="6"/>
        <w:overflowPunct w:val="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供应商（盖章）：</w:t>
      </w:r>
    </w:p>
    <w:tbl>
      <w:tblPr>
        <w:tblStyle w:val="25"/>
        <w:tblW w:w="85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2005"/>
        <w:gridCol w:w="1461"/>
        <w:gridCol w:w="25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2510" w:type="dxa"/>
            <w:vAlign w:val="center"/>
          </w:tcPr>
          <w:p>
            <w:pPr>
              <w:pStyle w:val="6"/>
              <w:overflowPunct w:val="0"/>
              <w:autoSpaceDE/>
              <w:autoSpaceDN/>
              <w:adjustRightInd/>
              <w:spacing w:line="360" w:lineRule="auto"/>
              <w:ind w:firstLine="0"/>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w:t>
            </w:r>
          </w:p>
        </w:tc>
        <w:tc>
          <w:tcPr>
            <w:tcW w:w="2005" w:type="dxa"/>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c>
          <w:tcPr>
            <w:tcW w:w="1461" w:type="dxa"/>
            <w:vAlign w:val="center"/>
          </w:tcPr>
          <w:p>
            <w:pPr>
              <w:pStyle w:val="6"/>
              <w:overflowPunct w:val="0"/>
              <w:ind w:firstLine="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成立日期</w:t>
            </w:r>
          </w:p>
        </w:tc>
        <w:tc>
          <w:tcPr>
            <w:tcW w:w="2529" w:type="dxa"/>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pPr>
              <w:pStyle w:val="6"/>
              <w:overflowPunct w:val="0"/>
              <w:autoSpaceDE/>
              <w:autoSpaceDN/>
              <w:adjustRightInd/>
              <w:spacing w:line="360" w:lineRule="auto"/>
              <w:ind w:firstLine="0"/>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企业地址</w:t>
            </w:r>
          </w:p>
        </w:tc>
        <w:tc>
          <w:tcPr>
            <w:tcW w:w="2005" w:type="dxa"/>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c>
          <w:tcPr>
            <w:tcW w:w="1461" w:type="dxa"/>
            <w:vAlign w:val="center"/>
          </w:tcPr>
          <w:p>
            <w:pPr>
              <w:pStyle w:val="6"/>
              <w:overflowPunct w:val="0"/>
              <w:ind w:firstLine="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注册资本</w:t>
            </w:r>
          </w:p>
        </w:tc>
        <w:tc>
          <w:tcPr>
            <w:tcW w:w="2529" w:type="dxa"/>
            <w:vAlign w:val="center"/>
          </w:tcPr>
          <w:p>
            <w:pPr>
              <w:pStyle w:val="6"/>
              <w:overflowPunct w:val="0"/>
              <w:ind w:firstLine="600" w:firstLineChars="25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pPr>
              <w:pStyle w:val="6"/>
              <w:overflowPunct w:val="0"/>
              <w:autoSpaceDE/>
              <w:autoSpaceDN/>
              <w:adjustRightInd/>
              <w:spacing w:line="360" w:lineRule="auto"/>
              <w:ind w:firstLine="0"/>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经营范围</w:t>
            </w:r>
          </w:p>
        </w:tc>
        <w:tc>
          <w:tcPr>
            <w:tcW w:w="5995" w:type="dxa"/>
            <w:gridSpan w:val="3"/>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2510" w:type="dxa"/>
            <w:vAlign w:val="center"/>
          </w:tcPr>
          <w:p>
            <w:pPr>
              <w:pStyle w:val="6"/>
              <w:overflowPunct w:val="0"/>
              <w:autoSpaceDE/>
              <w:autoSpaceDN/>
              <w:adjustRightInd/>
              <w:spacing w:line="360" w:lineRule="auto"/>
              <w:ind w:firstLine="0"/>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营业面积（含厂房）</w:t>
            </w:r>
          </w:p>
        </w:tc>
        <w:tc>
          <w:tcPr>
            <w:tcW w:w="5995" w:type="dxa"/>
            <w:gridSpan w:val="3"/>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7" w:hRule="atLeast"/>
          <w:jc w:val="center"/>
        </w:trPr>
        <w:tc>
          <w:tcPr>
            <w:tcW w:w="2510" w:type="dxa"/>
            <w:vAlign w:val="center"/>
          </w:tcPr>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单位简历及内设机构情况</w:t>
            </w:r>
          </w:p>
        </w:tc>
        <w:tc>
          <w:tcPr>
            <w:tcW w:w="5995" w:type="dxa"/>
            <w:gridSpan w:val="3"/>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0" w:hRule="atLeast"/>
          <w:jc w:val="center"/>
        </w:trPr>
        <w:tc>
          <w:tcPr>
            <w:tcW w:w="2510" w:type="dxa"/>
            <w:vAlign w:val="center"/>
          </w:tcPr>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p>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单位优势及特长</w:t>
            </w:r>
          </w:p>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p>
        </w:tc>
        <w:tc>
          <w:tcPr>
            <w:tcW w:w="5995" w:type="dxa"/>
            <w:gridSpan w:val="3"/>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510" w:type="dxa"/>
            <w:vAlign w:val="center"/>
          </w:tcPr>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近三年来完成或正在履行的重大合同情况</w:t>
            </w:r>
          </w:p>
        </w:tc>
        <w:tc>
          <w:tcPr>
            <w:tcW w:w="5995" w:type="dxa"/>
            <w:gridSpan w:val="3"/>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3" w:hRule="atLeast"/>
          <w:jc w:val="center"/>
        </w:trPr>
        <w:tc>
          <w:tcPr>
            <w:tcW w:w="2510" w:type="dxa"/>
            <w:vAlign w:val="center"/>
          </w:tcPr>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最近2年内在经营过程中受到何种奖励或处分</w:t>
            </w:r>
          </w:p>
        </w:tc>
        <w:tc>
          <w:tcPr>
            <w:tcW w:w="5995" w:type="dxa"/>
            <w:gridSpan w:val="3"/>
          </w:tcPr>
          <w:p>
            <w:pPr>
              <w:pStyle w:val="6"/>
              <w:overflowPunct w:val="0"/>
              <w:ind w:firstLine="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（包括财政、工商、税务、物价、技监部门稽查情况和结果）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17" w:hRule="atLeast"/>
          <w:jc w:val="center"/>
        </w:trPr>
        <w:tc>
          <w:tcPr>
            <w:tcW w:w="2510" w:type="dxa"/>
            <w:vAlign w:val="center"/>
          </w:tcPr>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最近3年内有无因售假、售劣或是其他原因被消费者投诉或起诉的情况及说明</w:t>
            </w:r>
          </w:p>
        </w:tc>
        <w:tc>
          <w:tcPr>
            <w:tcW w:w="5995" w:type="dxa"/>
            <w:gridSpan w:val="3"/>
          </w:tcPr>
          <w:p>
            <w:pPr>
              <w:pStyle w:val="6"/>
              <w:overflowPunct w:val="0"/>
              <w:ind w:firstLine="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（包括解决方式和结果）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2510" w:type="dxa"/>
            <w:vAlign w:val="center"/>
          </w:tcPr>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最近3年内主要负责人有无因经济犯罪被司法机关追究的情况及说明</w:t>
            </w:r>
          </w:p>
        </w:tc>
        <w:tc>
          <w:tcPr>
            <w:tcW w:w="5995" w:type="dxa"/>
            <w:gridSpan w:val="3"/>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2510" w:type="dxa"/>
            <w:vAlign w:val="center"/>
          </w:tcPr>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获得技术认证的工程师及简介</w:t>
            </w:r>
          </w:p>
        </w:tc>
        <w:tc>
          <w:tcPr>
            <w:tcW w:w="5995" w:type="dxa"/>
            <w:gridSpan w:val="3"/>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510" w:type="dxa"/>
            <w:vAlign w:val="center"/>
          </w:tcPr>
          <w:p>
            <w:pPr>
              <w:pStyle w:val="6"/>
              <w:overflowPunct w:val="0"/>
              <w:autoSpaceDE/>
              <w:autoSpaceDN/>
              <w:adjustRightInd/>
              <w:spacing w:line="360" w:lineRule="auto"/>
              <w:ind w:firstLine="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其他需要说明的情况</w:t>
            </w:r>
          </w:p>
        </w:tc>
        <w:tc>
          <w:tcPr>
            <w:tcW w:w="5995" w:type="dxa"/>
            <w:gridSpan w:val="3"/>
            <w:vAlign w:val="center"/>
          </w:tcPr>
          <w:p>
            <w:pPr>
              <w:pStyle w:val="6"/>
              <w:overflowPunct w:val="0"/>
              <w:ind w:firstLine="480"/>
              <w:jc w:val="both"/>
              <w:rPr>
                <w:rFonts w:ascii="仿宋" w:hAnsi="仿宋" w:eastAsia="仿宋" w:cs="仿宋"/>
                <w:color w:val="000000" w:themeColor="text1"/>
                <w:highlight w:val="none"/>
                <w14:textFill>
                  <w14:solidFill>
                    <w14:schemeClr w14:val="tx1"/>
                  </w14:solidFill>
                </w14:textFill>
              </w:rPr>
            </w:pPr>
          </w:p>
        </w:tc>
      </w:tr>
    </w:tbl>
    <w:p>
      <w:pPr>
        <w:pStyle w:val="4"/>
        <w:rPr>
          <w:rFonts w:ascii="仿宋" w:hAnsi="仿宋" w:eastAsia="仿宋"/>
          <w:bCs/>
          <w:color w:val="000000" w:themeColor="text1"/>
          <w:kern w:val="2"/>
          <w:szCs w:val="21"/>
          <w:highlight w:val="none"/>
          <w:u w:val="none"/>
          <w14:textFill>
            <w14:solidFill>
              <w14:schemeClr w14:val="tx1"/>
            </w14:solidFill>
          </w14:textFill>
        </w:rPr>
      </w:pPr>
      <w:r>
        <w:rPr>
          <w:rFonts w:hint="eastAsia" w:ascii="仿宋" w:hAnsi="仿宋" w:eastAsia="仿宋"/>
          <w:bCs/>
          <w:color w:val="000000" w:themeColor="text1"/>
          <w:kern w:val="2"/>
          <w:szCs w:val="21"/>
          <w:highlight w:val="none"/>
          <w:u w:val="none"/>
          <w14:textFill>
            <w14:solidFill>
              <w14:schemeClr w14:val="tx1"/>
            </w14:solidFill>
          </w14:textFill>
        </w:rPr>
        <w:br w:type="page"/>
      </w:r>
      <w:r>
        <w:rPr>
          <w:rFonts w:hint="eastAsia" w:ascii="仿宋" w:hAnsi="仿宋" w:eastAsia="仿宋"/>
          <w:bCs/>
          <w:color w:val="000000" w:themeColor="text1"/>
          <w:kern w:val="2"/>
          <w:szCs w:val="21"/>
          <w:highlight w:val="none"/>
          <w:u w:val="none"/>
          <w14:textFill>
            <w14:solidFill>
              <w14:schemeClr w14:val="tx1"/>
            </w14:solidFill>
          </w14:textFill>
        </w:rPr>
        <w:t>附件5：（必须提供）</w:t>
      </w:r>
    </w:p>
    <w:p>
      <w:pPr>
        <w:pStyle w:val="4"/>
        <w:ind w:firstLine="723"/>
        <w:jc w:val="center"/>
        <w:rPr>
          <w:rFonts w:ascii="仿宋" w:hAnsi="仿宋" w:eastAsia="仿宋"/>
          <w:bCs/>
          <w:color w:val="000000" w:themeColor="text1"/>
          <w:kern w:val="2"/>
          <w:sz w:val="36"/>
          <w:szCs w:val="22"/>
          <w:highlight w:val="none"/>
          <w:u w:val="none"/>
          <w14:textFill>
            <w14:solidFill>
              <w14:schemeClr w14:val="tx1"/>
            </w14:solidFill>
          </w14:textFill>
        </w:rPr>
      </w:pPr>
      <w:r>
        <w:rPr>
          <w:rFonts w:hint="eastAsia" w:ascii="仿宋" w:hAnsi="仿宋" w:eastAsia="仿宋"/>
          <w:bCs/>
          <w:color w:val="000000" w:themeColor="text1"/>
          <w:kern w:val="2"/>
          <w:sz w:val="36"/>
          <w:szCs w:val="22"/>
          <w:highlight w:val="none"/>
          <w:u w:val="none"/>
          <w14:textFill>
            <w14:solidFill>
              <w14:schemeClr w14:val="tx1"/>
            </w14:solidFill>
          </w14:textFill>
        </w:rPr>
        <w:t>报价一览表</w:t>
      </w:r>
    </w:p>
    <w:p>
      <w:pPr>
        <w:spacing w:line="360" w:lineRule="auto"/>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供应商（加盖公章）：</w:t>
      </w:r>
    </w:p>
    <w:p>
      <w:pPr>
        <w:spacing w:line="360" w:lineRule="auto"/>
        <w:ind w:firstLine="480"/>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项目名称：</w:t>
      </w:r>
      <w:r>
        <w:rPr>
          <w:rFonts w:hint="eastAsia" w:ascii="仿宋" w:hAnsi="仿宋" w:eastAsia="仿宋"/>
          <w:color w:val="000000" w:themeColor="text1"/>
          <w:sz w:val="24"/>
          <w:highlight w:val="none"/>
          <w:lang w:eastAsia="zh-CN"/>
          <w14:textFill>
            <w14:solidFill>
              <w14:schemeClr w14:val="tx1"/>
            </w14:solidFill>
          </w14:textFill>
        </w:rPr>
        <w:t>《普通高中教师专业发展的实践探索》图书出版项目</w:t>
      </w:r>
      <w:r>
        <w:rPr>
          <w:rFonts w:hint="eastAsia" w:ascii="仿宋" w:hAnsi="仿宋" w:eastAsia="仿宋"/>
          <w:color w:val="000000" w:themeColor="text1"/>
          <w:sz w:val="24"/>
          <w:highlight w:val="none"/>
          <w14:textFill>
            <w14:solidFill>
              <w14:schemeClr w14:val="tx1"/>
            </w14:solidFill>
          </w14:textFill>
        </w:rPr>
        <w:t xml:space="preserve"> </w:t>
      </w:r>
    </w:p>
    <w:p>
      <w:pPr>
        <w:spacing w:line="360" w:lineRule="auto"/>
        <w:ind w:firstLine="480"/>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项目编号：</w:t>
      </w:r>
      <w:r>
        <w:rPr>
          <w:rFonts w:hint="eastAsia" w:ascii="仿宋" w:hAnsi="仿宋" w:eastAsia="仿宋"/>
          <w:color w:val="000000" w:themeColor="text1"/>
          <w:sz w:val="24"/>
          <w:highlight w:val="none"/>
          <w:lang w:eastAsia="zh-CN"/>
          <w14:textFill>
            <w14:solidFill>
              <w14:schemeClr w14:val="tx1"/>
            </w14:solidFill>
          </w14:textFill>
        </w:rPr>
        <w:t>ZYJS-SJ2024002</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项目</w:t>
            </w:r>
            <w:r>
              <w:rPr>
                <w:rFonts w:hint="eastAsia" w:ascii="仿宋" w:hAnsi="仿宋" w:eastAsia="仿宋"/>
                <w:color w:val="000000" w:themeColor="text1"/>
                <w:sz w:val="24"/>
                <w:highlight w:val="none"/>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before="0"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大写：</w:t>
            </w:r>
          </w:p>
          <w:p>
            <w:pPr>
              <w:pStyle w:val="54"/>
              <w:spacing w:before="0" w:after="0"/>
              <w:ind w:firstLine="0"/>
              <w:rPr>
                <w:rFonts w:ascii="仿宋" w:hAnsi="仿宋" w:eastAsia="仿宋"/>
                <w:color w:val="000000" w:themeColor="text1"/>
                <w:kern w:val="2"/>
                <w:szCs w:val="2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54"/>
              <w:spacing w:before="0" w:after="0"/>
              <w:ind w:firstLine="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合同履行期限：</w:t>
            </w:r>
          </w:p>
        </w:tc>
      </w:tr>
    </w:tbl>
    <w:p>
      <w:pPr>
        <w:spacing w:line="360" w:lineRule="auto"/>
        <w:rPr>
          <w:rFonts w:ascii="仿宋" w:hAnsi="仿宋" w:eastAsia="仿宋"/>
          <w:color w:val="000000" w:themeColor="text1"/>
          <w:sz w:val="24"/>
          <w:highlight w:val="none"/>
          <w14:textFill>
            <w14:solidFill>
              <w14:schemeClr w14:val="tx1"/>
            </w14:solidFill>
          </w14:textFill>
        </w:rPr>
      </w:pPr>
    </w:p>
    <w:p>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法定代表人或授权代理人（签字或盖章）：</w:t>
      </w:r>
    </w:p>
    <w:p>
      <w:pPr>
        <w:spacing w:line="360" w:lineRule="auto"/>
        <w:rPr>
          <w:rFonts w:ascii="仿宋" w:hAnsi="仿宋" w:eastAsia="仿宋"/>
          <w:color w:val="000000" w:themeColor="text1"/>
          <w:sz w:val="24"/>
          <w:highlight w:val="none"/>
          <w14:textFill>
            <w14:solidFill>
              <w14:schemeClr w14:val="tx1"/>
            </w14:solidFill>
          </w14:textFill>
        </w:rPr>
      </w:pPr>
    </w:p>
    <w:p>
      <w:pPr>
        <w:spacing w:line="360" w:lineRule="auto"/>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                                         日期：   年月日</w:t>
      </w:r>
    </w:p>
    <w:p>
      <w:pPr>
        <w:spacing w:line="360" w:lineRule="auto"/>
        <w:rPr>
          <w:rFonts w:ascii="仿宋" w:hAnsi="仿宋" w:eastAsia="仿宋"/>
          <w:color w:val="000000" w:themeColor="text1"/>
          <w:sz w:val="24"/>
          <w:highlight w:val="none"/>
          <w14:textFill>
            <w14:solidFill>
              <w14:schemeClr w14:val="tx1"/>
            </w14:solidFill>
          </w14:textFill>
        </w:rPr>
      </w:pPr>
    </w:p>
    <w:p>
      <w:pPr>
        <w:spacing w:line="360" w:lineRule="auto"/>
        <w:rPr>
          <w:rFonts w:ascii="仿宋" w:hAnsi="仿宋" w:eastAsia="仿宋"/>
          <w:color w:val="000000" w:themeColor="text1"/>
          <w:sz w:val="24"/>
          <w:highlight w:val="none"/>
          <w14:textFill>
            <w14:solidFill>
              <w14:schemeClr w14:val="tx1"/>
            </w14:solidFill>
          </w14:textFill>
        </w:rPr>
      </w:pPr>
    </w:p>
    <w:p>
      <w:pPr>
        <w:spacing w:line="360" w:lineRule="auto"/>
        <w:rPr>
          <w:rFonts w:ascii="仿宋" w:hAnsi="仿宋" w:eastAsia="仿宋"/>
          <w:color w:val="000000" w:themeColor="text1"/>
          <w:sz w:val="24"/>
          <w:highlight w:val="none"/>
          <w:u w:val="singl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注：</w:t>
      </w:r>
      <w:r>
        <w:rPr>
          <w:rFonts w:hint="eastAsia" w:ascii="仿宋" w:hAnsi="仿宋" w:eastAsia="仿宋"/>
          <w:bCs/>
          <w:iCs/>
          <w:color w:val="000000" w:themeColor="text1"/>
          <w:sz w:val="24"/>
          <w:highlight w:val="none"/>
          <w14:textFill>
            <w14:solidFill>
              <w14:schemeClr w14:val="tx1"/>
            </w14:solidFill>
          </w14:textFill>
        </w:rPr>
        <w:t>报价一览表必须加盖供应商公章，由法定代表人或授权代理人签字或盖章（复印件无效）</w:t>
      </w:r>
      <w:r>
        <w:rPr>
          <w:rFonts w:hint="eastAsia" w:ascii="仿宋" w:hAnsi="仿宋" w:eastAsia="仿宋"/>
          <w:color w:val="000000" w:themeColor="text1"/>
          <w:sz w:val="24"/>
          <w:highlight w:val="none"/>
          <w14:textFill>
            <w14:solidFill>
              <w14:schemeClr w14:val="tx1"/>
            </w14:solidFill>
          </w14:textFill>
        </w:rPr>
        <w:t>。</w:t>
      </w:r>
    </w:p>
    <w:p>
      <w:pPr>
        <w:pStyle w:val="8"/>
        <w:rPr>
          <w:b/>
          <w:bCs/>
          <w:color w:val="000000" w:themeColor="text1"/>
          <w:highlight w:val="none"/>
          <w14:textFill>
            <w14:solidFill>
              <w14:schemeClr w14:val="tx1"/>
            </w14:solidFill>
          </w14:textFill>
        </w:rPr>
      </w:pPr>
    </w:p>
    <w:p>
      <w:pPr>
        <w:pStyle w:val="24"/>
        <w:ind w:firstLine="883"/>
        <w:rPr>
          <w:rFonts w:ascii="仿宋" w:hAnsi="仿宋" w:eastAsia="仿宋" w:cs="仿宋"/>
          <w:b/>
          <w:color w:val="000000" w:themeColor="text1"/>
          <w:sz w:val="44"/>
          <w:szCs w:val="21"/>
          <w:highlight w:val="none"/>
          <w14:textFill>
            <w14:solidFill>
              <w14:schemeClr w14:val="tx1"/>
            </w14:solidFill>
          </w14:textFill>
        </w:rPr>
      </w:pPr>
    </w:p>
    <w:p>
      <w:pP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br w:type="page"/>
      </w:r>
    </w:p>
    <w:p>
      <w:pPr>
        <w:pStyle w:val="4"/>
        <w:spacing w:before="0"/>
        <w:rPr>
          <w:rFonts w:ascii="仿宋" w:hAnsi="仿宋" w:eastAsia="仿宋"/>
          <w:bCs/>
          <w:color w:val="000000" w:themeColor="text1"/>
          <w:szCs w:val="21"/>
          <w:highlight w:val="none"/>
          <w:u w:val="none"/>
          <w14:textFill>
            <w14:solidFill>
              <w14:schemeClr w14:val="tx1"/>
            </w14:solidFill>
          </w14:textFill>
        </w:rPr>
      </w:pPr>
      <w:r>
        <w:rPr>
          <w:rFonts w:hint="eastAsia" w:ascii="仿宋" w:hAnsi="仿宋" w:eastAsia="仿宋"/>
          <w:bCs/>
          <w:color w:val="000000" w:themeColor="text1"/>
          <w:kern w:val="2"/>
          <w:szCs w:val="21"/>
          <w:highlight w:val="none"/>
          <w:u w:val="none"/>
          <w14:textFill>
            <w14:solidFill>
              <w14:schemeClr w14:val="tx1"/>
            </w14:solidFill>
          </w14:textFill>
        </w:rPr>
        <w:t>附件</w:t>
      </w:r>
      <w:r>
        <w:rPr>
          <w:rFonts w:hint="eastAsia" w:ascii="仿宋" w:hAnsi="仿宋" w:eastAsia="仿宋"/>
          <w:bCs/>
          <w:color w:val="000000" w:themeColor="text1"/>
          <w:kern w:val="2"/>
          <w:szCs w:val="21"/>
          <w:highlight w:val="none"/>
          <w:u w:val="none"/>
          <w:lang w:val="en-US" w:eastAsia="zh-CN"/>
          <w14:textFill>
            <w14:solidFill>
              <w14:schemeClr w14:val="tx1"/>
            </w14:solidFill>
          </w14:textFill>
        </w:rPr>
        <w:t>6</w:t>
      </w:r>
      <w:r>
        <w:rPr>
          <w:rFonts w:hint="eastAsia" w:ascii="仿宋" w:hAnsi="仿宋" w:eastAsia="仿宋"/>
          <w:bCs/>
          <w:color w:val="000000" w:themeColor="text1"/>
          <w:kern w:val="2"/>
          <w:szCs w:val="21"/>
          <w:highlight w:val="none"/>
          <w:u w:val="none"/>
          <w14:textFill>
            <w14:solidFill>
              <w14:schemeClr w14:val="tx1"/>
            </w14:solidFill>
          </w14:textFill>
        </w:rPr>
        <w:t>：（必须提供）</w:t>
      </w:r>
    </w:p>
    <w:p>
      <w:pPr>
        <w:pStyle w:val="4"/>
        <w:ind w:firstLine="20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kern w:val="2"/>
          <w:sz w:val="36"/>
          <w:szCs w:val="22"/>
          <w:highlight w:val="none"/>
          <w:u w:val="none"/>
          <w14:textFill>
            <w14:solidFill>
              <w14:schemeClr w14:val="tx1"/>
            </w14:solidFill>
          </w14:textFill>
        </w:rPr>
        <w:t>偏 离 表（商务和技术条款）</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供应商应对采购文件中规定的商务（如质保期、交货期、付款方式）及技术部分给予充分的考虑。</w:t>
      </w:r>
    </w:p>
    <w:p>
      <w:pPr>
        <w:spacing w:line="360" w:lineRule="auto"/>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1.为了评审的需要，供应商</w:t>
      </w:r>
      <w:r>
        <w:rPr>
          <w:rFonts w:hint="eastAsia" w:ascii="仿宋" w:hAnsi="仿宋" w:eastAsia="仿宋" w:cs="仿宋"/>
          <w:b/>
          <w:bCs/>
          <w:color w:val="000000" w:themeColor="text1"/>
          <w:sz w:val="24"/>
          <w:highlight w:val="none"/>
          <w:lang w:val="zh-CN"/>
          <w14:textFill>
            <w14:solidFill>
              <w14:schemeClr w14:val="tx1"/>
            </w14:solidFill>
          </w14:textFill>
        </w:rPr>
        <w:t>对本项目要求技术条款中指标如有偏离，应在本表中详细列出，如无偏离，请在本部分写“完全响应本项目所有指标技术要求，无偏离”，否则视为负偏离。</w:t>
      </w:r>
    </w:p>
    <w:p>
      <w:pPr>
        <w:spacing w:line="360" w:lineRule="auto"/>
        <w:ind w:firstLine="482" w:firstLineChars="200"/>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.商务条款如无偏离，请在商务条款部分写“完全响应商务条款要求，无偏离”，并按格式要求盖章签字附在响应文件中，</w:t>
      </w:r>
      <w:r>
        <w:rPr>
          <w:rFonts w:hint="eastAsia" w:ascii="仿宋" w:hAnsi="仿宋" w:eastAsia="仿宋" w:cs="仿宋"/>
          <w:b/>
          <w:bCs/>
          <w:color w:val="000000" w:themeColor="text1"/>
          <w:sz w:val="24"/>
          <w:highlight w:val="none"/>
          <w:lang w:val="zh-CN"/>
          <w14:textFill>
            <w14:solidFill>
              <w14:schemeClr w14:val="tx1"/>
            </w14:solidFill>
          </w14:textFill>
        </w:rPr>
        <w:t>否则视为负偏离</w:t>
      </w:r>
      <w:r>
        <w:rPr>
          <w:rFonts w:hint="eastAsia" w:ascii="仿宋" w:hAnsi="仿宋" w:eastAsia="仿宋" w:cs="仿宋"/>
          <w:b/>
          <w:bCs/>
          <w:color w:val="000000" w:themeColor="text1"/>
          <w:sz w:val="24"/>
          <w:highlight w:val="none"/>
          <w14:textFill>
            <w14:solidFill>
              <w14:schemeClr w14:val="tx1"/>
            </w14:solidFill>
          </w14:textFill>
        </w:rPr>
        <w:t>。</w:t>
      </w:r>
    </w:p>
    <w:p>
      <w:pPr>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olor w:val="000000" w:themeColor="text1"/>
          <w:sz w:val="24"/>
          <w:highlight w:val="none"/>
          <w:lang w:eastAsia="zh-CN"/>
          <w14:textFill>
            <w14:solidFill>
              <w14:schemeClr w14:val="tx1"/>
            </w14:solidFill>
          </w14:textFill>
        </w:rPr>
        <w:t>ZYJS-SJ2024002</w:t>
      </w:r>
    </w:p>
    <w:tbl>
      <w:tblPr>
        <w:tblStyle w:val="25"/>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765"/>
        <w:gridCol w:w="1860"/>
        <w:gridCol w:w="2143"/>
        <w:gridCol w:w="2196"/>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2" w:hRule="atLeast"/>
          <w:jc w:val="center"/>
        </w:trPr>
        <w:tc>
          <w:tcPr>
            <w:tcW w:w="941" w:type="pct"/>
            <w:vAlign w:val="center"/>
          </w:tcPr>
          <w:p>
            <w:pPr>
              <w:keepNext/>
              <w:autoSpaceDE w:val="0"/>
              <w:autoSpaceDN w:val="0"/>
              <w:adjustRightInd w:val="0"/>
              <w:snapToGrid w:val="0"/>
              <w:spacing w:line="360" w:lineRule="auto"/>
              <w:jc w:val="center"/>
              <w:rPr>
                <w:rFonts w:ascii="仿宋" w:hAnsi="仿宋" w:eastAsia="仿宋" w:cs="仿宋"/>
                <w:b/>
                <w:color w:val="000000" w:themeColor="text1"/>
                <w:sz w:val="20"/>
                <w:highlight w:val="none"/>
                <w14:textFill>
                  <w14:solidFill>
                    <w14:schemeClr w14:val="tx1"/>
                  </w14:solidFill>
                </w14:textFill>
              </w:rPr>
            </w:pPr>
            <w:r>
              <w:rPr>
                <w:rFonts w:hint="eastAsia" w:ascii="仿宋" w:hAnsi="仿宋" w:eastAsia="仿宋" w:cs="仿宋"/>
                <w:b/>
                <w:bCs/>
                <w:color w:val="000000" w:themeColor="text1"/>
                <w:szCs w:val="21"/>
                <w:highlight w:val="none"/>
                <w:lang w:val="zh-CN"/>
                <w14:textFill>
                  <w14:solidFill>
                    <w14:schemeClr w14:val="tx1"/>
                  </w14:solidFill>
                </w14:textFill>
              </w:rPr>
              <w:t>商务条款类别</w:t>
            </w:r>
          </w:p>
        </w:tc>
        <w:tc>
          <w:tcPr>
            <w:tcW w:w="992" w:type="pct"/>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Cs w:val="21"/>
                <w:highlight w:val="none"/>
                <w:lang w:val="zh-CN"/>
                <w14:textFill>
                  <w14:solidFill>
                    <w14:schemeClr w14:val="tx1"/>
                  </w14:solidFill>
                </w14:textFill>
              </w:rPr>
            </w:pPr>
            <w:r>
              <w:rPr>
                <w:rFonts w:hint="eastAsia" w:ascii="仿宋" w:hAnsi="仿宋" w:eastAsia="仿宋" w:cs="仿宋"/>
                <w:b/>
                <w:bCs/>
                <w:color w:val="000000" w:themeColor="text1"/>
                <w:szCs w:val="21"/>
                <w:highlight w:val="none"/>
                <w:lang w:val="zh-CN"/>
                <w14:textFill>
                  <w14:solidFill>
                    <w14:schemeClr w14:val="tx1"/>
                  </w14:solidFill>
                </w14:textFill>
              </w:rPr>
              <w:t>采购文件</w:t>
            </w:r>
          </w:p>
          <w:p>
            <w:pPr>
              <w:keepNext/>
              <w:autoSpaceDE w:val="0"/>
              <w:autoSpaceDN w:val="0"/>
              <w:adjustRightInd w:val="0"/>
              <w:snapToGrid w:val="0"/>
              <w:spacing w:line="360" w:lineRule="auto"/>
              <w:jc w:val="center"/>
              <w:rPr>
                <w:rFonts w:ascii="仿宋" w:hAnsi="仿宋" w:eastAsia="仿宋" w:cs="仿宋"/>
                <w:b/>
                <w:color w:val="000000" w:themeColor="text1"/>
                <w:sz w:val="20"/>
                <w:highlight w:val="none"/>
                <w14:textFill>
                  <w14:solidFill>
                    <w14:schemeClr w14:val="tx1"/>
                  </w14:solidFill>
                </w14:textFill>
              </w:rPr>
            </w:pPr>
            <w:r>
              <w:rPr>
                <w:rFonts w:hint="eastAsia" w:ascii="仿宋" w:hAnsi="仿宋" w:eastAsia="仿宋" w:cs="仿宋"/>
                <w:b/>
                <w:bCs/>
                <w:color w:val="000000" w:themeColor="text1"/>
                <w:szCs w:val="21"/>
                <w:highlight w:val="none"/>
                <w:lang w:val="zh-CN"/>
                <w14:textFill>
                  <w14:solidFill>
                    <w14:schemeClr w14:val="tx1"/>
                  </w14:solidFill>
                </w14:textFill>
              </w:rPr>
              <w:t>具体要求</w:t>
            </w:r>
          </w:p>
        </w:tc>
        <w:tc>
          <w:tcPr>
            <w:tcW w:w="1143" w:type="pct"/>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Cs w:val="21"/>
                <w:highlight w:val="none"/>
                <w:lang w:val="zh-CN"/>
                <w14:textFill>
                  <w14:solidFill>
                    <w14:schemeClr w14:val="tx1"/>
                  </w14:solidFill>
                </w14:textFill>
              </w:rPr>
            </w:pPr>
            <w:r>
              <w:rPr>
                <w:rFonts w:hint="eastAsia" w:ascii="仿宋" w:hAnsi="仿宋" w:eastAsia="仿宋" w:cs="仿宋"/>
                <w:b/>
                <w:bCs/>
                <w:color w:val="000000" w:themeColor="text1"/>
                <w:szCs w:val="21"/>
                <w:highlight w:val="none"/>
                <w:lang w:val="zh-CN"/>
                <w14:textFill>
                  <w14:solidFill>
                    <w14:schemeClr w14:val="tx1"/>
                  </w14:solidFill>
                </w14:textFill>
              </w:rPr>
              <w:t>投标参数或</w:t>
            </w:r>
          </w:p>
          <w:p>
            <w:pPr>
              <w:keepNext/>
              <w:autoSpaceDE w:val="0"/>
              <w:autoSpaceDN w:val="0"/>
              <w:adjustRightInd w:val="0"/>
              <w:snapToGrid w:val="0"/>
              <w:spacing w:line="360" w:lineRule="auto"/>
              <w:jc w:val="center"/>
              <w:rPr>
                <w:rFonts w:ascii="仿宋" w:hAnsi="仿宋" w:eastAsia="仿宋" w:cs="仿宋"/>
                <w:b/>
                <w:color w:val="000000" w:themeColor="text1"/>
                <w:sz w:val="20"/>
                <w:highlight w:val="none"/>
                <w14:textFill>
                  <w14:solidFill>
                    <w14:schemeClr w14:val="tx1"/>
                  </w14:solidFill>
                </w14:textFill>
              </w:rPr>
            </w:pPr>
            <w:r>
              <w:rPr>
                <w:rFonts w:hint="eastAsia" w:ascii="仿宋" w:hAnsi="仿宋" w:eastAsia="仿宋" w:cs="仿宋"/>
                <w:b/>
                <w:bCs/>
                <w:color w:val="000000" w:themeColor="text1"/>
                <w:szCs w:val="21"/>
                <w:highlight w:val="none"/>
                <w:lang w:val="zh-CN"/>
                <w14:textFill>
                  <w14:solidFill>
                    <w14:schemeClr w14:val="tx1"/>
                  </w14:solidFill>
                </w14:textFill>
              </w:rPr>
              <w:t>响应</w:t>
            </w:r>
            <w:r>
              <w:rPr>
                <w:rFonts w:hint="eastAsia" w:ascii="仿宋" w:hAnsi="仿宋" w:eastAsia="仿宋" w:cs="仿宋"/>
                <w:b/>
                <w:bCs/>
                <w:color w:val="000000" w:themeColor="text1"/>
                <w:szCs w:val="21"/>
                <w:highlight w:val="none"/>
                <w:lang w:val="en-US" w:eastAsia="zh-CN"/>
                <w14:textFill>
                  <w14:solidFill>
                    <w14:schemeClr w14:val="tx1"/>
                  </w14:solidFill>
                </w14:textFill>
              </w:rPr>
              <w:t>服务</w:t>
            </w:r>
            <w:r>
              <w:rPr>
                <w:rFonts w:hint="eastAsia" w:ascii="仿宋" w:hAnsi="仿宋" w:eastAsia="仿宋" w:cs="仿宋"/>
                <w:b/>
                <w:bCs/>
                <w:color w:val="000000" w:themeColor="text1"/>
                <w:szCs w:val="21"/>
                <w:highlight w:val="none"/>
                <w:lang w:val="zh-CN"/>
                <w14:textFill>
                  <w14:solidFill>
                    <w14:schemeClr w14:val="tx1"/>
                  </w14:solidFill>
                </w14:textFill>
              </w:rPr>
              <w:t>内容</w:t>
            </w:r>
          </w:p>
        </w:tc>
        <w:tc>
          <w:tcPr>
            <w:tcW w:w="1171" w:type="pct"/>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Cs w:val="21"/>
                <w:highlight w:val="none"/>
                <w:lang w:val="zh-CN"/>
                <w14:textFill>
                  <w14:solidFill>
                    <w14:schemeClr w14:val="tx1"/>
                  </w14:solidFill>
                </w14:textFill>
              </w:rPr>
            </w:pPr>
            <w:r>
              <w:rPr>
                <w:rFonts w:hint="eastAsia" w:ascii="仿宋" w:hAnsi="仿宋" w:eastAsia="仿宋" w:cs="仿宋"/>
                <w:b/>
                <w:bCs/>
                <w:color w:val="000000" w:themeColor="text1"/>
                <w:szCs w:val="21"/>
                <w:highlight w:val="none"/>
                <w:lang w:val="zh-CN"/>
                <w14:textFill>
                  <w14:solidFill>
                    <w14:schemeClr w14:val="tx1"/>
                  </w14:solidFill>
                </w14:textFill>
              </w:rPr>
              <w:t>符合、正偏离或负偏离</w:t>
            </w:r>
          </w:p>
        </w:tc>
        <w:tc>
          <w:tcPr>
            <w:tcW w:w="750" w:type="pct"/>
            <w:vAlign w:val="center"/>
          </w:tcPr>
          <w:p>
            <w:pPr>
              <w:keepNext/>
              <w:autoSpaceDE w:val="0"/>
              <w:autoSpaceDN w:val="0"/>
              <w:adjustRightInd w:val="0"/>
              <w:snapToGrid w:val="0"/>
              <w:spacing w:line="360" w:lineRule="auto"/>
              <w:jc w:val="center"/>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0" w:hRule="atLeast"/>
          <w:jc w:val="center"/>
        </w:trPr>
        <w:tc>
          <w:tcPr>
            <w:tcW w:w="5000" w:type="pct"/>
            <w:gridSpan w:val="5"/>
          </w:tcPr>
          <w:p>
            <w:pPr>
              <w:keepNext/>
              <w:widowControl/>
              <w:autoSpaceDE w:val="0"/>
              <w:autoSpaceDN w:val="0"/>
              <w:adjustRightInd w:val="0"/>
              <w:snapToGrid w:val="0"/>
              <w:jc w:val="center"/>
              <w:rPr>
                <w:rFonts w:ascii="仿宋" w:hAnsi="仿宋" w:eastAsia="仿宋" w:cs="仿宋"/>
                <w:b/>
                <w:bCs/>
                <w:color w:val="000000" w:themeColor="text1"/>
                <w:sz w:val="24"/>
                <w:highlight w:val="none"/>
                <w:lang w:val="zh-CN" w:bidi="ar"/>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供应商</w:t>
            </w:r>
            <w:r>
              <w:rPr>
                <w:rFonts w:hint="eastAsia" w:ascii="仿宋" w:hAnsi="仿宋" w:eastAsia="仿宋" w:cs="仿宋"/>
                <w:b/>
                <w:bCs/>
                <w:color w:val="000000" w:themeColor="text1"/>
                <w:sz w:val="24"/>
                <w:highlight w:val="none"/>
                <w:lang w:val="zh-CN"/>
                <w14:textFill>
                  <w14:solidFill>
                    <w14:schemeClr w14:val="tx1"/>
                  </w14:solidFill>
                </w14:textFill>
              </w:rPr>
              <w:t>对本项目要求技术条款中指标如有偏离，应在本表中详细列出，如无偏离，请在本部分写“完全响应本项目所有指标技术要求，无偏离”，否则视为负偏离。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5" w:hRule="atLeast"/>
          <w:jc w:val="center"/>
        </w:trPr>
        <w:tc>
          <w:tcPr>
            <w:tcW w:w="941" w:type="pct"/>
          </w:tcPr>
          <w:p>
            <w:pPr>
              <w:keepNext/>
              <w:widowControl/>
              <w:autoSpaceDE w:val="0"/>
              <w:autoSpaceDN w:val="0"/>
              <w:adjustRightInd w:val="0"/>
              <w:snapToGrid w:val="0"/>
              <w:jc w:val="center"/>
              <w:rPr>
                <w:rFonts w:ascii="仿宋" w:hAnsi="仿宋" w:eastAsia="仿宋" w:cs="仿宋"/>
                <w:b/>
                <w:bCs/>
                <w:color w:val="000000" w:themeColor="text1"/>
                <w:sz w:val="24"/>
                <w:highlight w:val="none"/>
                <w:lang w:val="zh-CN" w:bidi="ar"/>
                <w14:textFill>
                  <w14:solidFill>
                    <w14:schemeClr w14:val="tx1"/>
                  </w14:solidFill>
                </w14:textFill>
              </w:rPr>
            </w:pPr>
          </w:p>
        </w:tc>
        <w:tc>
          <w:tcPr>
            <w:tcW w:w="992" w:type="pct"/>
          </w:tcPr>
          <w:p>
            <w:pPr>
              <w:keepNext/>
              <w:widowControl/>
              <w:autoSpaceDE w:val="0"/>
              <w:autoSpaceDN w:val="0"/>
              <w:adjustRightInd w:val="0"/>
              <w:snapToGrid w:val="0"/>
              <w:jc w:val="center"/>
              <w:rPr>
                <w:rFonts w:ascii="仿宋" w:hAnsi="仿宋" w:eastAsia="仿宋" w:cs="仿宋"/>
                <w:b/>
                <w:bCs/>
                <w:color w:val="000000" w:themeColor="text1"/>
                <w:sz w:val="24"/>
                <w:highlight w:val="none"/>
                <w:lang w:val="zh-CN" w:bidi="ar"/>
                <w14:textFill>
                  <w14:solidFill>
                    <w14:schemeClr w14:val="tx1"/>
                  </w14:solidFill>
                </w14:textFill>
              </w:rPr>
            </w:pPr>
          </w:p>
        </w:tc>
        <w:tc>
          <w:tcPr>
            <w:tcW w:w="1143" w:type="pct"/>
          </w:tcPr>
          <w:p>
            <w:pPr>
              <w:keepNext/>
              <w:widowControl/>
              <w:autoSpaceDE w:val="0"/>
              <w:autoSpaceDN w:val="0"/>
              <w:adjustRightInd w:val="0"/>
              <w:snapToGrid w:val="0"/>
              <w:jc w:val="center"/>
              <w:rPr>
                <w:rFonts w:ascii="仿宋" w:hAnsi="仿宋" w:eastAsia="仿宋" w:cs="仿宋"/>
                <w:b/>
                <w:bCs/>
                <w:color w:val="000000" w:themeColor="text1"/>
                <w:sz w:val="24"/>
                <w:highlight w:val="none"/>
                <w:lang w:val="zh-CN" w:bidi="ar"/>
                <w14:textFill>
                  <w14:solidFill>
                    <w14:schemeClr w14:val="tx1"/>
                  </w14:solidFill>
                </w14:textFill>
              </w:rPr>
            </w:pPr>
          </w:p>
        </w:tc>
        <w:tc>
          <w:tcPr>
            <w:tcW w:w="1171" w:type="pct"/>
          </w:tcPr>
          <w:p>
            <w:pPr>
              <w:keepNext/>
              <w:widowControl/>
              <w:autoSpaceDE w:val="0"/>
              <w:autoSpaceDN w:val="0"/>
              <w:adjustRightInd w:val="0"/>
              <w:snapToGrid w:val="0"/>
              <w:jc w:val="center"/>
              <w:rPr>
                <w:rFonts w:ascii="仿宋" w:hAnsi="仿宋" w:eastAsia="仿宋" w:cs="仿宋"/>
                <w:b/>
                <w:bCs/>
                <w:color w:val="000000" w:themeColor="text1"/>
                <w:sz w:val="24"/>
                <w:highlight w:val="none"/>
                <w:lang w:val="zh-CN" w:bidi="ar"/>
                <w14:textFill>
                  <w14:solidFill>
                    <w14:schemeClr w14:val="tx1"/>
                  </w14:solidFill>
                </w14:textFill>
              </w:rPr>
            </w:pPr>
          </w:p>
        </w:tc>
        <w:tc>
          <w:tcPr>
            <w:tcW w:w="750" w:type="pct"/>
          </w:tcPr>
          <w:p>
            <w:pPr>
              <w:keepNext/>
              <w:widowControl/>
              <w:autoSpaceDE w:val="0"/>
              <w:autoSpaceDN w:val="0"/>
              <w:adjustRightInd w:val="0"/>
              <w:snapToGrid w:val="0"/>
              <w:jc w:val="center"/>
              <w:rPr>
                <w:rFonts w:ascii="仿宋" w:hAnsi="仿宋" w:eastAsia="仿宋" w:cs="仿宋"/>
                <w:b/>
                <w:bCs/>
                <w:color w:val="000000" w:themeColor="text1"/>
                <w:sz w:val="24"/>
                <w:highlight w:val="none"/>
                <w:lang w:val="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0" w:hRule="atLeast"/>
          <w:jc w:val="center"/>
        </w:trPr>
        <w:tc>
          <w:tcPr>
            <w:tcW w:w="5000" w:type="pct"/>
            <w:gridSpan w:val="5"/>
          </w:tcPr>
          <w:p>
            <w:pPr>
              <w:keepNext/>
              <w:widowControl/>
              <w:autoSpaceDE w:val="0"/>
              <w:autoSpaceDN w:val="0"/>
              <w:adjustRightInd w:val="0"/>
              <w:snapToGrid w:val="0"/>
              <w:jc w:val="center"/>
              <w:rPr>
                <w:rFonts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lang w:val="zh-CN"/>
                <w14:textFill>
                  <w14:solidFill>
                    <w14:schemeClr w14:val="tx1"/>
                  </w14:solidFill>
                </w14:textFill>
              </w:rPr>
              <w:t>商务条款如无偏离，请在商务条款部分写“完全响应商务条款要求，无偏离”，否则视为负偏离。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40" w:hRule="atLeast"/>
          <w:jc w:val="center"/>
        </w:trPr>
        <w:tc>
          <w:tcPr>
            <w:tcW w:w="941" w:type="pct"/>
          </w:tcPr>
          <w:p>
            <w:pPr>
              <w:jc w:val="center"/>
              <w:rPr>
                <w:rFonts w:ascii="仿宋" w:hAnsi="仿宋" w:eastAsia="仿宋" w:cs="仿宋"/>
                <w:b/>
                <w:color w:val="000000" w:themeColor="text1"/>
                <w:sz w:val="20"/>
                <w:highlight w:val="none"/>
                <w14:textFill>
                  <w14:solidFill>
                    <w14:schemeClr w14:val="tx1"/>
                  </w14:solidFill>
                </w14:textFill>
              </w:rPr>
            </w:pPr>
          </w:p>
        </w:tc>
        <w:tc>
          <w:tcPr>
            <w:tcW w:w="992" w:type="pct"/>
          </w:tcPr>
          <w:p>
            <w:pPr>
              <w:jc w:val="center"/>
              <w:rPr>
                <w:rFonts w:ascii="仿宋" w:hAnsi="仿宋" w:eastAsia="仿宋" w:cs="仿宋"/>
                <w:b/>
                <w:color w:val="000000" w:themeColor="text1"/>
                <w:sz w:val="20"/>
                <w:highlight w:val="none"/>
                <w14:textFill>
                  <w14:solidFill>
                    <w14:schemeClr w14:val="tx1"/>
                  </w14:solidFill>
                </w14:textFill>
              </w:rPr>
            </w:pPr>
          </w:p>
        </w:tc>
        <w:tc>
          <w:tcPr>
            <w:tcW w:w="1143" w:type="pct"/>
          </w:tcPr>
          <w:p>
            <w:pPr>
              <w:jc w:val="center"/>
              <w:rPr>
                <w:rFonts w:ascii="仿宋" w:hAnsi="仿宋" w:eastAsia="仿宋" w:cs="仿宋"/>
                <w:color w:val="000000" w:themeColor="text1"/>
                <w:sz w:val="20"/>
                <w:highlight w:val="none"/>
                <w14:textFill>
                  <w14:solidFill>
                    <w14:schemeClr w14:val="tx1"/>
                  </w14:solidFill>
                </w14:textFill>
              </w:rPr>
            </w:pPr>
          </w:p>
        </w:tc>
        <w:tc>
          <w:tcPr>
            <w:tcW w:w="1171" w:type="pct"/>
          </w:tcPr>
          <w:p>
            <w:pPr>
              <w:widowControl/>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p>
        </w:tc>
        <w:tc>
          <w:tcPr>
            <w:tcW w:w="750" w:type="pct"/>
          </w:tcPr>
          <w:p>
            <w:pPr>
              <w:widowControl/>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p>
        </w:tc>
      </w:tr>
    </w:tbl>
    <w:p>
      <w:pPr>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供应商（盖章）：                    </w:t>
      </w:r>
    </w:p>
    <w:p>
      <w:pP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法定代表人或授权代理人（签字或盖章）：                            </w:t>
      </w:r>
    </w:p>
    <w:p>
      <w:pPr>
        <w:jc w:val="right"/>
        <w:rPr>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jc w:val="center"/>
        <w:rPr>
          <w:rFonts w:ascii="仿宋" w:hAnsi="仿宋" w:eastAsia="仿宋"/>
          <w:b/>
          <w:color w:val="000000" w:themeColor="text1"/>
          <w:sz w:val="44"/>
          <w:szCs w:val="21"/>
          <w:highlight w:val="none"/>
          <w14:textFill>
            <w14:solidFill>
              <w14:schemeClr w14:val="tx1"/>
            </w14:solidFill>
          </w14:textFill>
        </w:rPr>
      </w:pPr>
    </w:p>
    <w:p>
      <w:pPr>
        <w:pStyle w:val="41"/>
        <w:spacing w:line="360" w:lineRule="auto"/>
        <w:ind w:firstLine="480" w:firstLineChars="200"/>
        <w:rPr>
          <w:rFonts w:ascii="仿宋" w:hAnsi="仿宋" w:eastAsia="仿宋"/>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snapToGrid w:val="0"/>
        <w:spacing w:line="360" w:lineRule="auto"/>
        <w:rPr>
          <w:rFonts w:ascii="仿宋" w:hAnsi="仿宋" w:eastAsia="仿宋"/>
          <w:b/>
          <w:bCs/>
          <w:color w:val="000000" w:themeColor="text1"/>
          <w:sz w:val="24"/>
          <w:szCs w:val="21"/>
          <w:highlight w:val="none"/>
          <w14:textFill>
            <w14:solidFill>
              <w14:schemeClr w14:val="tx1"/>
            </w14:solidFill>
          </w14:textFill>
        </w:rPr>
      </w:pPr>
      <w:r>
        <w:rPr>
          <w:rFonts w:hint="eastAsia" w:ascii="仿宋" w:hAnsi="仿宋" w:eastAsia="仿宋"/>
          <w:b/>
          <w:bCs/>
          <w:color w:val="000000" w:themeColor="text1"/>
          <w:sz w:val="24"/>
          <w:szCs w:val="21"/>
          <w:highlight w:val="none"/>
          <w14:textFill>
            <w14:solidFill>
              <w14:schemeClr w14:val="tx1"/>
            </w14:solidFill>
          </w14:textFill>
        </w:rPr>
        <w:t>附件</w:t>
      </w:r>
      <w:r>
        <w:rPr>
          <w:rFonts w:hint="eastAsia" w:ascii="仿宋" w:hAnsi="仿宋" w:eastAsia="仿宋"/>
          <w:b/>
          <w:bCs/>
          <w:color w:val="000000" w:themeColor="text1"/>
          <w:sz w:val="24"/>
          <w:szCs w:val="21"/>
          <w:highlight w:val="none"/>
          <w:lang w:val="en-US" w:eastAsia="zh-CN"/>
          <w14:textFill>
            <w14:solidFill>
              <w14:schemeClr w14:val="tx1"/>
            </w14:solidFill>
          </w14:textFill>
        </w:rPr>
        <w:t>7</w:t>
      </w:r>
      <w:r>
        <w:rPr>
          <w:rFonts w:hint="eastAsia" w:ascii="仿宋" w:hAnsi="仿宋" w:eastAsia="仿宋"/>
          <w:b/>
          <w:bCs/>
          <w:color w:val="000000" w:themeColor="text1"/>
          <w:sz w:val="24"/>
          <w:szCs w:val="21"/>
          <w:highlight w:val="none"/>
          <w14:textFill>
            <w14:solidFill>
              <w14:schemeClr w14:val="tx1"/>
            </w14:solidFill>
          </w14:textFill>
        </w:rPr>
        <w:t>：（如有）</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1、供应商认为可以证明其能力或业绩的其他材料----包含成功案例、业绩证明（供应商同类项目实施情况一览表、合同复印件）</w:t>
      </w:r>
    </w:p>
    <w:p>
      <w:pPr>
        <w:snapToGrid w:val="0"/>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2、供应商的信誉、荣誉、获奖证书或文件</w:t>
      </w:r>
    </w:p>
    <w:p>
      <w:pPr>
        <w:snapToGrid w:val="0"/>
        <w:spacing w:line="360" w:lineRule="auto"/>
        <w:ind w:firstLine="560" w:firstLineChars="200"/>
        <w:rPr>
          <w:rFonts w:ascii="仿宋" w:hAnsi="仿宋" w:eastAsia="仿宋"/>
          <w:b/>
          <w:bCs/>
          <w:color w:val="000000" w:themeColor="text1"/>
          <w:sz w:val="44"/>
          <w:szCs w:val="2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3、供应商质量保证体系、环境保证体系等方面的认证证书</w:t>
      </w:r>
      <w:r>
        <w:rPr>
          <w:rFonts w:hint="eastAsia" w:ascii="仿宋" w:hAnsi="仿宋" w:eastAsia="仿宋"/>
          <w:b/>
          <w:bCs/>
          <w:color w:val="000000" w:themeColor="text1"/>
          <w:sz w:val="44"/>
          <w:szCs w:val="21"/>
          <w:highlight w:val="none"/>
          <w14:textFill>
            <w14:solidFill>
              <w14:schemeClr w14:val="tx1"/>
            </w14:solidFill>
          </w14:textFill>
        </w:rPr>
        <w:br w:type="page"/>
      </w:r>
    </w:p>
    <w:p>
      <w:pPr>
        <w:spacing w:line="480" w:lineRule="auto"/>
        <w:jc w:val="center"/>
        <w:outlineLvl w:val="0"/>
        <w:rPr>
          <w:rFonts w:ascii="仿宋" w:hAnsi="仿宋" w:eastAsia="仿宋"/>
          <w:b/>
          <w:color w:val="000000" w:themeColor="text1"/>
          <w:sz w:val="44"/>
          <w:szCs w:val="21"/>
          <w:highlight w:val="none"/>
          <w14:textFill>
            <w14:solidFill>
              <w14:schemeClr w14:val="tx1"/>
            </w14:solidFill>
          </w14:textFill>
        </w:rPr>
      </w:pPr>
      <w:r>
        <w:rPr>
          <w:rFonts w:hint="eastAsia" w:ascii="仿宋" w:hAnsi="仿宋" w:eastAsia="仿宋"/>
          <w:b/>
          <w:color w:val="000000" w:themeColor="text1"/>
          <w:sz w:val="44"/>
          <w:szCs w:val="21"/>
          <w:highlight w:val="none"/>
          <w14:textFill>
            <w14:solidFill>
              <w14:schemeClr w14:val="tx1"/>
            </w14:solidFill>
          </w14:textFill>
        </w:rPr>
        <w:t>友 情 提 醒</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p>
    <w:p>
      <w:pPr>
        <w:spacing w:line="500" w:lineRule="exact"/>
        <w:ind w:firstLine="482" w:firstLineChars="200"/>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供应商：</w:t>
      </w:r>
    </w:p>
    <w:p>
      <w:pPr>
        <w:spacing w:line="500" w:lineRule="exact"/>
        <w:ind w:firstLine="482" w:firstLineChars="200"/>
        <w:jc w:val="left"/>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您好！</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为了提高贵公司响应文件的有效性，减少不必要的废标，特友情提醒注意以下几点：</w:t>
      </w:r>
    </w:p>
    <w:p>
      <w:pPr>
        <w:numPr>
          <w:ilvl w:val="0"/>
          <w:numId w:val="6"/>
        </w:num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请谨记谈判公告中的各项事宜时间节点，特别是谈判时间和地点。供应商应充分考虑天气及周边道路情况，在上述时间前到达开标现场。迟于响应文件递交截止时间的，采购代理机构将拒绝接收其响应文件。</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2、响应文件须按竞争性谈判文件《第二章 供应商须知》及《第六章 响应文件格式》中相关要求装订、密封、标记、盖章和签署。</w:t>
      </w:r>
      <w:r>
        <w:rPr>
          <w:rFonts w:hint="eastAsia" w:ascii="仿宋" w:hAnsi="仿宋" w:eastAsia="仿宋"/>
          <w:color w:val="000000" w:themeColor="text1"/>
          <w:sz w:val="24"/>
          <w:highlight w:val="none"/>
          <w14:textFill>
            <w14:solidFill>
              <w14:schemeClr w14:val="tx1"/>
            </w14:solidFill>
          </w14:textFill>
        </w:rPr>
        <w:t>所有</w:t>
      </w:r>
      <w:r>
        <w:rPr>
          <w:rFonts w:ascii="仿宋" w:hAnsi="仿宋" w:eastAsia="仿宋"/>
          <w:color w:val="000000" w:themeColor="text1"/>
          <w:sz w:val="24"/>
          <w:highlight w:val="none"/>
          <w14:textFill>
            <w14:solidFill>
              <w14:schemeClr w14:val="tx1"/>
            </w14:solidFill>
          </w14:textFill>
        </w:rPr>
        <w:t>响应文件密封口须加盖供应商公章、法定代表人或授权委托人签字或盖章。</w:t>
      </w:r>
      <w:r>
        <w:rPr>
          <w:rFonts w:hint="eastAsia" w:ascii="仿宋" w:hAnsi="仿宋" w:eastAsia="仿宋"/>
          <w:bCs/>
          <w:color w:val="000000" w:themeColor="text1"/>
          <w:sz w:val="24"/>
          <w:highlight w:val="none"/>
          <w14:textFill>
            <w14:solidFill>
              <w14:schemeClr w14:val="tx1"/>
            </w14:solidFill>
          </w14:textFill>
        </w:rPr>
        <w:t>资格证明材料提供复印件的应加盖公章，</w:t>
      </w:r>
      <w:r>
        <w:rPr>
          <w:rFonts w:hint="eastAsia" w:ascii="仿宋" w:hAnsi="仿宋" w:eastAsia="仿宋"/>
          <w:color w:val="000000" w:themeColor="text1"/>
          <w:sz w:val="24"/>
          <w:highlight w:val="none"/>
          <w14:textFill>
            <w14:solidFill>
              <w14:schemeClr w14:val="tx1"/>
            </w14:solidFill>
          </w14:textFill>
        </w:rPr>
        <w:t>复印件内容应清晰可辨，必要时谈判小组有权要求提供原件或公证件进行核对。</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3、若项目需要提供样品的，请严格按谈判文件要求的规格、时间提供，同时注意样品的密封、隐蔽标签的相关要求。</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4、为充分掌握项目情况，可根据自身需要，自行对有关现场和周围环境进行勘察，以获取编制响应文件和签署合同所需的信息。</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5、本项目设有预算价，详见竞争性谈判文件《第二章 供应商须知》，</w:t>
      </w:r>
      <w:r>
        <w:rPr>
          <w:rFonts w:hint="eastAsia" w:ascii="仿宋" w:hAnsi="仿宋" w:eastAsia="仿宋"/>
          <w:color w:val="000000" w:themeColor="text1"/>
          <w:sz w:val="24"/>
          <w:highlight w:val="none"/>
          <w14:textFill>
            <w14:solidFill>
              <w14:schemeClr w14:val="tx1"/>
            </w14:solidFill>
          </w14:textFill>
        </w:rPr>
        <w:t>报价超过采购预算，采购人无法接受的，将作为无效响应。</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6、请仔细审阅谈判公告及谈判文件，如有疑问，请按谈判公告相关要求进行提疑。</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p>
    <w:p>
      <w:pPr>
        <w:spacing w:line="500" w:lineRule="exact"/>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 xml:space="preserve">    我们也欢迎您对我们的采购组织工作提出宝贵意见。电话：0519-85785155</w:t>
      </w:r>
    </w:p>
    <w:p>
      <w:pPr>
        <w:spacing w:line="500" w:lineRule="exact"/>
        <w:ind w:firstLine="480" w:firstLineChars="200"/>
        <w:jc w:val="left"/>
        <w:rPr>
          <w:rFonts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最后祝您竞标成功！</w:t>
      </w:r>
    </w:p>
    <w:p>
      <w:pPr>
        <w:rPr>
          <w:rFonts w:ascii="仿宋" w:hAnsi="仿宋" w:eastAsia="仿宋"/>
          <w:color w:val="000000" w:themeColor="text1"/>
          <w:highlight w:val="none"/>
          <w14:textFill>
            <w14:solidFill>
              <w14:schemeClr w14:val="tx1"/>
            </w14:solidFill>
          </w14:textFill>
        </w:rPr>
      </w:pPr>
    </w:p>
    <w:p>
      <w:pPr>
        <w:spacing w:line="360" w:lineRule="auto"/>
        <w:jc w:val="center"/>
        <w:rPr>
          <w:color w:val="000000" w:themeColor="text1"/>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本竞争性谈判文件的最终解释权归常州中宇建设工程管理有限公司所有。</w:t>
      </w:r>
    </w:p>
    <w:p>
      <w:pPr>
        <w:pStyle w:val="6"/>
        <w:ind w:firstLine="480"/>
        <w:rPr>
          <w:color w:val="000000" w:themeColor="text1"/>
          <w:highlight w:val="none"/>
          <w14:textFill>
            <w14:solidFill>
              <w14:schemeClr w14:val="tx1"/>
            </w14:solidFill>
          </w14:textFill>
        </w:rPr>
      </w:pPr>
    </w:p>
    <w:p>
      <w:pPr>
        <w:jc w:val="center"/>
        <w:rPr>
          <w:color w:val="000000" w:themeColor="text1"/>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（全文完）</w:t>
      </w:r>
      <w:bookmarkEnd w:id="138"/>
      <w:bookmarkEnd w:id="139"/>
      <w:bookmarkEnd w:id="140"/>
    </w:p>
    <w:p>
      <w:pPr>
        <w:spacing w:line="360" w:lineRule="auto"/>
        <w:jc w:val="center"/>
        <w:rPr>
          <w:color w:val="000000" w:themeColor="text1"/>
          <w:highlight w:val="none"/>
          <w14:textFill>
            <w14:solidFill>
              <w14:schemeClr w14:val="tx1"/>
            </w14:solidFill>
          </w14:textFill>
        </w:rPr>
      </w:pPr>
    </w:p>
    <w:bookmarkEnd w:id="141"/>
    <w:sectPr>
      <w:footerReference r:id="rId7" w:type="default"/>
      <w:pgSz w:w="11906" w:h="16838"/>
      <w:pgMar w:top="1134" w:right="1134" w:bottom="1134"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sz w:val="18"/>
        <w:szCs w:val="18"/>
        <w:lang w:eastAsia="zh-CN"/>
      </w:rPr>
    </w:pPr>
    <w:r>
      <w:rPr>
        <w:rFonts w:hint="eastAsia" w:ascii="宋体" w:hAnsi="宋体" w:cs="宋体"/>
        <w:sz w:val="18"/>
        <w:szCs w:val="18"/>
      </w:rPr>
      <w:t>项目编号：</w:t>
    </w:r>
    <w:r>
      <w:rPr>
        <w:rFonts w:hint="eastAsia" w:ascii="宋体" w:hAnsi="宋体" w:cs="宋体"/>
        <w:sz w:val="18"/>
        <w:szCs w:val="18"/>
        <w:lang w:eastAsia="zh-CN"/>
      </w:rPr>
      <w:t>ZYJS-SJ2024002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eastAsia="宋体" w:cs="宋体"/>
        <w:sz w:val="20"/>
        <w:szCs w:val="20"/>
        <w:lang w:eastAsia="zh-CN"/>
      </w:rPr>
    </w:pPr>
    <w:r>
      <w:rPr>
        <w:rFonts w:hint="eastAsia" w:ascii="宋体" w:hAnsi="宋体" w:cs="宋体"/>
        <w:sz w:val="20"/>
        <w:szCs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ascii="宋体" w:hAnsi="宋体" w:eastAsia="宋体" w:cs="宋体"/>
                              <w:sz w:val="20"/>
                            </w:rPr>
                          </w:pPr>
                          <w:r>
                            <w:rPr>
                              <w:rFonts w:hint="eastAsia" w:ascii="宋体" w:hAnsi="宋体" w:eastAsia="宋体" w:cs="宋体"/>
                              <w:sz w:val="20"/>
                            </w:rPr>
                            <w:t xml:space="preserve">第 </w:t>
                          </w:r>
                          <w:r>
                            <w:rPr>
                              <w:rFonts w:hint="eastAsia" w:ascii="宋体" w:hAnsi="宋体" w:eastAsia="宋体" w:cs="宋体"/>
                              <w:sz w:val="20"/>
                            </w:rPr>
                            <w:fldChar w:fldCharType="begin"/>
                          </w:r>
                          <w:r>
                            <w:rPr>
                              <w:rFonts w:hint="eastAsia" w:ascii="宋体" w:hAnsi="宋体" w:eastAsia="宋体" w:cs="宋体"/>
                              <w:sz w:val="20"/>
                            </w:rPr>
                            <w:instrText xml:space="preserve"> PAGE  \* MERGEFORMAT </w:instrText>
                          </w:r>
                          <w:r>
                            <w:rPr>
                              <w:rFonts w:hint="eastAsia" w:ascii="宋体" w:hAnsi="宋体" w:eastAsia="宋体" w:cs="宋体"/>
                              <w:sz w:val="20"/>
                            </w:rPr>
                            <w:fldChar w:fldCharType="separate"/>
                          </w:r>
                          <w:r>
                            <w:rPr>
                              <w:rFonts w:ascii="宋体" w:hAnsi="宋体" w:eastAsia="宋体" w:cs="宋体"/>
                              <w:sz w:val="20"/>
                            </w:rPr>
                            <w:t>3</w:t>
                          </w:r>
                          <w:r>
                            <w:rPr>
                              <w:rFonts w:hint="eastAsia" w:ascii="宋体" w:hAnsi="宋体" w:eastAsia="宋体" w:cs="宋体"/>
                              <w:sz w:val="20"/>
                            </w:rPr>
                            <w:fldChar w:fldCharType="end"/>
                          </w:r>
                          <w:r>
                            <w:rPr>
                              <w:rFonts w:hint="eastAsia" w:ascii="宋体" w:hAnsi="宋体" w:eastAsia="宋体" w:cs="宋体"/>
                              <w:sz w:val="20"/>
                            </w:rPr>
                            <w:t xml:space="preserve"> 页 共 46页</w:t>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7CTMQBAACQ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9C7CTMQBAACQAwAADgAAAAAAAAABACAAAAAeAQAAZHJzL2Uyb0RvYy54bWxQ&#10;SwUGAAAAAAYABgBZAQAAVAUAAAAA&#10;">
              <v:fill on="f" focussize="0,0"/>
              <v:stroke on="f"/>
              <v:imagedata o:title=""/>
              <o:lock v:ext="edit" aspectratio="f"/>
              <v:textbox inset="0mm,0mm,0mm,0mm" style="mso-fit-shape-to-text:t;">
                <w:txbxContent>
                  <w:p>
                    <w:pPr>
                      <w:pStyle w:val="15"/>
                      <w:rPr>
                        <w:rFonts w:ascii="宋体" w:hAnsi="宋体" w:eastAsia="宋体" w:cs="宋体"/>
                        <w:sz w:val="20"/>
                      </w:rPr>
                    </w:pPr>
                    <w:r>
                      <w:rPr>
                        <w:rFonts w:hint="eastAsia" w:ascii="宋体" w:hAnsi="宋体" w:eastAsia="宋体" w:cs="宋体"/>
                        <w:sz w:val="20"/>
                      </w:rPr>
                      <w:t xml:space="preserve">第 </w:t>
                    </w:r>
                    <w:r>
                      <w:rPr>
                        <w:rFonts w:hint="eastAsia" w:ascii="宋体" w:hAnsi="宋体" w:eastAsia="宋体" w:cs="宋体"/>
                        <w:sz w:val="20"/>
                      </w:rPr>
                      <w:fldChar w:fldCharType="begin"/>
                    </w:r>
                    <w:r>
                      <w:rPr>
                        <w:rFonts w:hint="eastAsia" w:ascii="宋体" w:hAnsi="宋体" w:eastAsia="宋体" w:cs="宋体"/>
                        <w:sz w:val="20"/>
                      </w:rPr>
                      <w:instrText xml:space="preserve"> PAGE  \* MERGEFORMAT </w:instrText>
                    </w:r>
                    <w:r>
                      <w:rPr>
                        <w:rFonts w:hint="eastAsia" w:ascii="宋体" w:hAnsi="宋体" w:eastAsia="宋体" w:cs="宋体"/>
                        <w:sz w:val="20"/>
                      </w:rPr>
                      <w:fldChar w:fldCharType="separate"/>
                    </w:r>
                    <w:r>
                      <w:rPr>
                        <w:rFonts w:ascii="宋体" w:hAnsi="宋体" w:eastAsia="宋体" w:cs="宋体"/>
                        <w:sz w:val="20"/>
                      </w:rPr>
                      <w:t>3</w:t>
                    </w:r>
                    <w:r>
                      <w:rPr>
                        <w:rFonts w:hint="eastAsia" w:ascii="宋体" w:hAnsi="宋体" w:eastAsia="宋体" w:cs="宋体"/>
                        <w:sz w:val="20"/>
                      </w:rPr>
                      <w:fldChar w:fldCharType="end"/>
                    </w:r>
                    <w:r>
                      <w:rPr>
                        <w:rFonts w:hint="eastAsia" w:ascii="宋体" w:hAnsi="宋体" w:eastAsia="宋体" w:cs="宋体"/>
                        <w:sz w:val="20"/>
                      </w:rPr>
                      <w:t xml:space="preserve"> 页 共 46页</w:t>
                    </w:r>
                  </w:p>
                </w:txbxContent>
              </v:textbox>
            </v:shape>
          </w:pict>
        </mc:Fallback>
      </mc:AlternateContent>
    </w:r>
    <w:r>
      <w:rPr>
        <w:rFonts w:hint="eastAsia" w:ascii="宋体" w:hAnsi="宋体" w:cs="宋体"/>
        <w:sz w:val="20"/>
        <w:szCs w:val="20"/>
      </w:rPr>
      <w:t>项目编号：</w:t>
    </w:r>
    <w:r>
      <w:rPr>
        <w:rFonts w:hint="eastAsia" w:ascii="宋体" w:hAnsi="宋体" w:cs="宋体"/>
        <w:sz w:val="20"/>
        <w:szCs w:val="20"/>
        <w:lang w:eastAsia="zh-CN"/>
      </w:rPr>
      <w:t>ZYJS-SJ2024002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eastAsia="宋体" w:cs="宋体"/>
        <w:sz w:val="20"/>
        <w:szCs w:val="20"/>
        <w:lang w:eastAsia="zh-CN"/>
      </w:rPr>
    </w:pPr>
    <w:r>
      <w:rPr>
        <w:rFonts w:hint="eastAsia" w:ascii="宋体" w:hAnsi="宋体" w:cs="宋体"/>
        <w:sz w:val="20"/>
        <w:szCs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ascii="宋体" w:hAnsi="宋体" w:eastAsia="宋体" w:cs="宋体"/>
                              <w:sz w:val="20"/>
                            </w:rPr>
                          </w:pPr>
                          <w:r>
                            <w:rPr>
                              <w:rFonts w:hint="eastAsia" w:ascii="宋体" w:hAnsi="宋体" w:eastAsia="宋体" w:cs="宋体"/>
                              <w:sz w:val="20"/>
                            </w:rPr>
                            <w:t xml:space="preserve">第 </w:t>
                          </w:r>
                          <w:r>
                            <w:rPr>
                              <w:rFonts w:hint="eastAsia" w:ascii="宋体" w:hAnsi="宋体" w:eastAsia="宋体" w:cs="宋体"/>
                              <w:sz w:val="20"/>
                            </w:rPr>
                            <w:fldChar w:fldCharType="begin"/>
                          </w:r>
                          <w:r>
                            <w:rPr>
                              <w:rFonts w:hint="eastAsia" w:ascii="宋体" w:hAnsi="宋体" w:eastAsia="宋体" w:cs="宋体"/>
                              <w:sz w:val="20"/>
                            </w:rPr>
                            <w:instrText xml:space="preserve"> PAGE  \* MERGEFORMAT </w:instrText>
                          </w:r>
                          <w:r>
                            <w:rPr>
                              <w:rFonts w:hint="eastAsia" w:ascii="宋体" w:hAnsi="宋体" w:eastAsia="宋体" w:cs="宋体"/>
                              <w:sz w:val="20"/>
                            </w:rPr>
                            <w:fldChar w:fldCharType="separate"/>
                          </w:r>
                          <w:r>
                            <w:rPr>
                              <w:rFonts w:ascii="宋体" w:hAnsi="宋体" w:eastAsia="宋体" w:cs="宋体"/>
                              <w:sz w:val="20"/>
                            </w:rPr>
                            <w:t>17</w:t>
                          </w:r>
                          <w:r>
                            <w:rPr>
                              <w:rFonts w:hint="eastAsia" w:ascii="宋体" w:hAnsi="宋体" w:eastAsia="宋体" w:cs="宋体"/>
                              <w:sz w:val="20"/>
                            </w:rPr>
                            <w:fldChar w:fldCharType="end"/>
                          </w:r>
                          <w:r>
                            <w:rPr>
                              <w:rFonts w:hint="eastAsia" w:ascii="宋体" w:hAnsi="宋体" w:eastAsia="宋体" w:cs="宋体"/>
                              <w:sz w:val="20"/>
                            </w:rPr>
                            <w:t xml:space="preserve"> 页 共</w:t>
                          </w:r>
                          <w:r>
                            <w:rPr>
                              <w:rFonts w:hint="eastAsia" w:ascii="宋体" w:hAnsi="宋体" w:eastAsia="宋体" w:cs="宋体"/>
                              <w:sz w:val="20"/>
                              <w:lang w:val="en-US" w:eastAsia="zh-CN"/>
                            </w:rPr>
                            <w:t>38</w:t>
                          </w:r>
                          <w:r>
                            <w:rPr>
                              <w:rFonts w:hint="eastAsia" w:ascii="宋体" w:hAnsi="宋体" w:eastAsia="宋体" w:cs="宋体"/>
                              <w:sz w:val="20"/>
                            </w:rPr>
                            <w:t>页</w:t>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pPr>
                      <w:pStyle w:val="15"/>
                      <w:rPr>
                        <w:rFonts w:ascii="宋体" w:hAnsi="宋体" w:eastAsia="宋体" w:cs="宋体"/>
                        <w:sz w:val="20"/>
                      </w:rPr>
                    </w:pPr>
                    <w:r>
                      <w:rPr>
                        <w:rFonts w:hint="eastAsia" w:ascii="宋体" w:hAnsi="宋体" w:eastAsia="宋体" w:cs="宋体"/>
                        <w:sz w:val="20"/>
                      </w:rPr>
                      <w:t xml:space="preserve">第 </w:t>
                    </w:r>
                    <w:r>
                      <w:rPr>
                        <w:rFonts w:hint="eastAsia" w:ascii="宋体" w:hAnsi="宋体" w:eastAsia="宋体" w:cs="宋体"/>
                        <w:sz w:val="20"/>
                      </w:rPr>
                      <w:fldChar w:fldCharType="begin"/>
                    </w:r>
                    <w:r>
                      <w:rPr>
                        <w:rFonts w:hint="eastAsia" w:ascii="宋体" w:hAnsi="宋体" w:eastAsia="宋体" w:cs="宋体"/>
                        <w:sz w:val="20"/>
                      </w:rPr>
                      <w:instrText xml:space="preserve"> PAGE  \* MERGEFORMAT </w:instrText>
                    </w:r>
                    <w:r>
                      <w:rPr>
                        <w:rFonts w:hint="eastAsia" w:ascii="宋体" w:hAnsi="宋体" w:eastAsia="宋体" w:cs="宋体"/>
                        <w:sz w:val="20"/>
                      </w:rPr>
                      <w:fldChar w:fldCharType="separate"/>
                    </w:r>
                    <w:r>
                      <w:rPr>
                        <w:rFonts w:ascii="宋体" w:hAnsi="宋体" w:eastAsia="宋体" w:cs="宋体"/>
                        <w:sz w:val="20"/>
                      </w:rPr>
                      <w:t>17</w:t>
                    </w:r>
                    <w:r>
                      <w:rPr>
                        <w:rFonts w:hint="eastAsia" w:ascii="宋体" w:hAnsi="宋体" w:eastAsia="宋体" w:cs="宋体"/>
                        <w:sz w:val="20"/>
                      </w:rPr>
                      <w:fldChar w:fldCharType="end"/>
                    </w:r>
                    <w:r>
                      <w:rPr>
                        <w:rFonts w:hint="eastAsia" w:ascii="宋体" w:hAnsi="宋体" w:eastAsia="宋体" w:cs="宋体"/>
                        <w:sz w:val="20"/>
                      </w:rPr>
                      <w:t xml:space="preserve"> 页 共</w:t>
                    </w:r>
                    <w:r>
                      <w:rPr>
                        <w:rFonts w:hint="eastAsia" w:ascii="宋体" w:hAnsi="宋体" w:eastAsia="宋体" w:cs="宋体"/>
                        <w:sz w:val="20"/>
                        <w:lang w:val="en-US" w:eastAsia="zh-CN"/>
                      </w:rPr>
                      <w:t>38</w:t>
                    </w:r>
                    <w:r>
                      <w:rPr>
                        <w:rFonts w:hint="eastAsia" w:ascii="宋体" w:hAnsi="宋体" w:eastAsia="宋体" w:cs="宋体"/>
                        <w:sz w:val="20"/>
                      </w:rPr>
                      <w:t>页</w:t>
                    </w:r>
                  </w:p>
                </w:txbxContent>
              </v:textbox>
            </v:shape>
          </w:pict>
        </mc:Fallback>
      </mc:AlternateContent>
    </w:r>
    <w:r>
      <w:rPr>
        <w:rFonts w:hint="eastAsia" w:ascii="宋体" w:hAnsi="宋体" w:cs="宋体"/>
        <w:sz w:val="20"/>
        <w:szCs w:val="20"/>
      </w:rPr>
      <w:t>项目编号：</w:t>
    </w:r>
    <w:r>
      <w:rPr>
        <w:rFonts w:hint="eastAsia" w:ascii="宋体" w:hAnsi="宋体" w:cs="宋体"/>
        <w:sz w:val="20"/>
        <w:szCs w:val="20"/>
        <w:lang w:eastAsia="zh-CN"/>
      </w:rPr>
      <w:t>ZYJS-SJ2024002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rFonts w:hint="eastAsia" w:ascii="宋体" w:hAnsi="宋体" w:cs="宋体"/>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71625" cy="131445"/>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571625" cy="131445"/>
                      </a:xfrm>
                      <a:prstGeom prst="rect">
                        <a:avLst/>
                      </a:prstGeom>
                      <a:noFill/>
                      <a:ln>
                        <a:noFill/>
                      </a:ln>
                    </wps:spPr>
                    <wps:txbx>
                      <w:txbxContent>
                        <w:p>
                          <w:pPr>
                            <w:snapToGrid w:val="0"/>
                            <w:rPr>
                              <w:sz w:val="18"/>
                            </w:rPr>
                          </w:pPr>
                        </w:p>
                      </w:txbxContent>
                    </wps:txbx>
                    <wps:bodyPr wrap="square" lIns="0" tIns="0" rIns="0" bIns="0">
                      <a:spAutoFit/>
                    </wps:bodyPr>
                  </wps:wsp>
                </a:graphicData>
              </a:graphic>
            </wp:anchor>
          </w:drawing>
        </mc:Choice>
        <mc:Fallback>
          <w:pict>
            <v:shape id="文本框 1030" o:spid="_x0000_s1026" o:spt="202" type="#_x0000_t202" style="position:absolute;left:0pt;margin-top:0pt;height:10.35pt;width:123.75pt;mso-position-horizontal:center;mso-position-horizontal-relative:margin;z-index:251659264;mso-width-relative:page;mso-height-relative:page;" filled="f" stroked="f" coordsize="21600,21600" o:gfxdata="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2sh2X0gAAAAQBAAAPAAAAAAAAAAEAIAAAACIAAABkcnMvZG93bnJl&#10;di54bWxQSwECFAAUAAAACACHTuJAUy/6GcoBAACRAwAADgAAAAAAAAABACAAAAAhAQAAZHJzL2Uy&#10;b0RvYy54bWxQSwUGAAAAAAYABgBZAQAAXQ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ascii="宋体" w:hAnsi="宋体" w:cs="宋体"/>
        <w:sz w:val="20"/>
        <w:szCs w:val="20"/>
      </w:rPr>
      <w:t>常州中宇建设工程管理有限公司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56A42"/>
    <w:multiLevelType w:val="singleLevel"/>
    <w:tmpl w:val="A1556A42"/>
    <w:lvl w:ilvl="0" w:tentative="0">
      <w:start w:val="3"/>
      <w:numFmt w:val="decimal"/>
      <w:lvlText w:val="%1."/>
      <w:lvlJc w:val="left"/>
      <w:pPr>
        <w:tabs>
          <w:tab w:val="left" w:pos="312"/>
        </w:tabs>
      </w:pPr>
    </w:lvl>
  </w:abstractNum>
  <w:abstractNum w:abstractNumId="1">
    <w:nsid w:val="F203374B"/>
    <w:multiLevelType w:val="singleLevel"/>
    <w:tmpl w:val="F203374B"/>
    <w:lvl w:ilvl="0" w:tentative="0">
      <w:start w:val="2"/>
      <w:numFmt w:val="decimal"/>
      <w:lvlText w:val="%1."/>
      <w:lvlJc w:val="left"/>
      <w:pPr>
        <w:tabs>
          <w:tab w:val="left" w:pos="312"/>
        </w:tabs>
      </w:pPr>
    </w:lvl>
  </w:abstractNum>
  <w:abstractNum w:abstractNumId="2">
    <w:nsid w:val="219B6E46"/>
    <w:multiLevelType w:val="multilevel"/>
    <w:tmpl w:val="219B6E46"/>
    <w:lvl w:ilvl="0" w:tentative="0">
      <w:start w:val="1"/>
      <w:numFmt w:val="japaneseCounting"/>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8A120D1"/>
    <w:multiLevelType w:val="singleLevel"/>
    <w:tmpl w:val="58A120D1"/>
    <w:lvl w:ilvl="0" w:tentative="0">
      <w:start w:val="1"/>
      <w:numFmt w:val="decimal"/>
      <w:suff w:val="nothing"/>
      <w:lvlText w:val="%1、"/>
      <w:lvlJc w:val="left"/>
    </w:lvl>
  </w:abstractNum>
  <w:abstractNum w:abstractNumId="4">
    <w:nsid w:val="5C427B4E"/>
    <w:multiLevelType w:val="singleLevel"/>
    <w:tmpl w:val="5C427B4E"/>
    <w:lvl w:ilvl="0" w:tentative="0">
      <w:start w:val="5"/>
      <w:numFmt w:val="decimal"/>
      <w:suff w:val="nothing"/>
      <w:lvlText w:val="%1、"/>
      <w:lvlJc w:val="left"/>
    </w:lvl>
  </w:abstractNum>
  <w:abstractNum w:abstractNumId="5">
    <w:nsid w:val="6EFD9806"/>
    <w:multiLevelType w:val="singleLevel"/>
    <w:tmpl w:val="6EFD9806"/>
    <w:lvl w:ilvl="0" w:tentative="0">
      <w:start w:val="4"/>
      <w:numFmt w:val="decimal"/>
      <w:lvlText w:val="%1."/>
      <w:lvlJc w:val="left"/>
      <w:pPr>
        <w:tabs>
          <w:tab w:val="left" w:pos="312"/>
        </w:tabs>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2NDMzY2FkYmUxMzlhYTNiMDdlMzUyMGFiMDM2NGEifQ=="/>
  </w:docVars>
  <w:rsids>
    <w:rsidRoot w:val="007300A9"/>
    <w:rsid w:val="00000A54"/>
    <w:rsid w:val="00004A77"/>
    <w:rsid w:val="00005841"/>
    <w:rsid w:val="000176F0"/>
    <w:rsid w:val="00022D24"/>
    <w:rsid w:val="000307CD"/>
    <w:rsid w:val="00032DDA"/>
    <w:rsid w:val="00033F3E"/>
    <w:rsid w:val="00043F6E"/>
    <w:rsid w:val="00044A99"/>
    <w:rsid w:val="000473DA"/>
    <w:rsid w:val="00065CA0"/>
    <w:rsid w:val="00066EF7"/>
    <w:rsid w:val="00074591"/>
    <w:rsid w:val="00074F8C"/>
    <w:rsid w:val="00087C98"/>
    <w:rsid w:val="00093A1F"/>
    <w:rsid w:val="00094D9A"/>
    <w:rsid w:val="000A07E8"/>
    <w:rsid w:val="000A5ADF"/>
    <w:rsid w:val="000B0C5C"/>
    <w:rsid w:val="000B0DF5"/>
    <w:rsid w:val="000B2D78"/>
    <w:rsid w:val="000B5BC2"/>
    <w:rsid w:val="000B7CAD"/>
    <w:rsid w:val="000C23E0"/>
    <w:rsid w:val="000C2FD2"/>
    <w:rsid w:val="000C419A"/>
    <w:rsid w:val="000C5C3C"/>
    <w:rsid w:val="000C6EA4"/>
    <w:rsid w:val="000D3766"/>
    <w:rsid w:val="000D5020"/>
    <w:rsid w:val="000E2B79"/>
    <w:rsid w:val="000E6F87"/>
    <w:rsid w:val="000F1D22"/>
    <w:rsid w:val="001018CF"/>
    <w:rsid w:val="00106D1F"/>
    <w:rsid w:val="00107E4A"/>
    <w:rsid w:val="00111B70"/>
    <w:rsid w:val="0011279E"/>
    <w:rsid w:val="00113767"/>
    <w:rsid w:val="00115DF6"/>
    <w:rsid w:val="00116052"/>
    <w:rsid w:val="0011676F"/>
    <w:rsid w:val="00123397"/>
    <w:rsid w:val="001244B9"/>
    <w:rsid w:val="00131A6E"/>
    <w:rsid w:val="00133E16"/>
    <w:rsid w:val="00135077"/>
    <w:rsid w:val="00144C9C"/>
    <w:rsid w:val="0014595F"/>
    <w:rsid w:val="00146FA6"/>
    <w:rsid w:val="0015309F"/>
    <w:rsid w:val="001546C7"/>
    <w:rsid w:val="00154A74"/>
    <w:rsid w:val="001714FF"/>
    <w:rsid w:val="001742A9"/>
    <w:rsid w:val="00184B52"/>
    <w:rsid w:val="00185E84"/>
    <w:rsid w:val="00186E76"/>
    <w:rsid w:val="00192DC8"/>
    <w:rsid w:val="00192DD8"/>
    <w:rsid w:val="001A0860"/>
    <w:rsid w:val="001A08E3"/>
    <w:rsid w:val="001A0ECD"/>
    <w:rsid w:val="001B293D"/>
    <w:rsid w:val="001B4F70"/>
    <w:rsid w:val="001C6F82"/>
    <w:rsid w:val="001E52D4"/>
    <w:rsid w:val="001E59CA"/>
    <w:rsid w:val="001F0349"/>
    <w:rsid w:val="001F3D63"/>
    <w:rsid w:val="001F4C6A"/>
    <w:rsid w:val="001F511B"/>
    <w:rsid w:val="001F630E"/>
    <w:rsid w:val="001F7E17"/>
    <w:rsid w:val="0020182E"/>
    <w:rsid w:val="00202266"/>
    <w:rsid w:val="0020658B"/>
    <w:rsid w:val="0021037E"/>
    <w:rsid w:val="00221C65"/>
    <w:rsid w:val="002253C3"/>
    <w:rsid w:val="00230CEA"/>
    <w:rsid w:val="00237724"/>
    <w:rsid w:val="0024021B"/>
    <w:rsid w:val="002402A6"/>
    <w:rsid w:val="00240818"/>
    <w:rsid w:val="00241668"/>
    <w:rsid w:val="00243E4B"/>
    <w:rsid w:val="00244C2D"/>
    <w:rsid w:val="00254C99"/>
    <w:rsid w:val="002553BB"/>
    <w:rsid w:val="00257F57"/>
    <w:rsid w:val="0026685E"/>
    <w:rsid w:val="00274C19"/>
    <w:rsid w:val="00283125"/>
    <w:rsid w:val="00283547"/>
    <w:rsid w:val="002836A6"/>
    <w:rsid w:val="002852F6"/>
    <w:rsid w:val="00286635"/>
    <w:rsid w:val="00293BD7"/>
    <w:rsid w:val="00294535"/>
    <w:rsid w:val="002A1BD4"/>
    <w:rsid w:val="002A5099"/>
    <w:rsid w:val="002A6136"/>
    <w:rsid w:val="002A7621"/>
    <w:rsid w:val="002B1254"/>
    <w:rsid w:val="002B3039"/>
    <w:rsid w:val="002C0FDD"/>
    <w:rsid w:val="002C5ACC"/>
    <w:rsid w:val="002D00F4"/>
    <w:rsid w:val="002D0284"/>
    <w:rsid w:val="002D420E"/>
    <w:rsid w:val="002E2633"/>
    <w:rsid w:val="002E4FD4"/>
    <w:rsid w:val="002E7599"/>
    <w:rsid w:val="002F0342"/>
    <w:rsid w:val="002F062D"/>
    <w:rsid w:val="002F3100"/>
    <w:rsid w:val="002F3121"/>
    <w:rsid w:val="00301AF2"/>
    <w:rsid w:val="00321C96"/>
    <w:rsid w:val="00322E0C"/>
    <w:rsid w:val="003314AA"/>
    <w:rsid w:val="00334295"/>
    <w:rsid w:val="0033586C"/>
    <w:rsid w:val="00340EBA"/>
    <w:rsid w:val="00343472"/>
    <w:rsid w:val="0034677C"/>
    <w:rsid w:val="00347E02"/>
    <w:rsid w:val="00350BC3"/>
    <w:rsid w:val="0035108A"/>
    <w:rsid w:val="003513B4"/>
    <w:rsid w:val="00352144"/>
    <w:rsid w:val="00353E92"/>
    <w:rsid w:val="00354E08"/>
    <w:rsid w:val="00355282"/>
    <w:rsid w:val="0035639D"/>
    <w:rsid w:val="003710C0"/>
    <w:rsid w:val="00372C5D"/>
    <w:rsid w:val="0037400F"/>
    <w:rsid w:val="0038010C"/>
    <w:rsid w:val="003829B4"/>
    <w:rsid w:val="00382C48"/>
    <w:rsid w:val="0039526E"/>
    <w:rsid w:val="003A1076"/>
    <w:rsid w:val="003A18A0"/>
    <w:rsid w:val="003A54E5"/>
    <w:rsid w:val="003A565D"/>
    <w:rsid w:val="003A6299"/>
    <w:rsid w:val="003A6CC4"/>
    <w:rsid w:val="003A7748"/>
    <w:rsid w:val="003B0EE7"/>
    <w:rsid w:val="003B1DB5"/>
    <w:rsid w:val="003B4C05"/>
    <w:rsid w:val="003B74C6"/>
    <w:rsid w:val="003C00C6"/>
    <w:rsid w:val="003C0C3F"/>
    <w:rsid w:val="003C613E"/>
    <w:rsid w:val="003D21A0"/>
    <w:rsid w:val="003D59EA"/>
    <w:rsid w:val="003D6EE5"/>
    <w:rsid w:val="003E1332"/>
    <w:rsid w:val="003E2101"/>
    <w:rsid w:val="003E330F"/>
    <w:rsid w:val="003E3AB1"/>
    <w:rsid w:val="003F1317"/>
    <w:rsid w:val="003F41FF"/>
    <w:rsid w:val="003F6BDF"/>
    <w:rsid w:val="003F6C3D"/>
    <w:rsid w:val="00410B3A"/>
    <w:rsid w:val="0041386D"/>
    <w:rsid w:val="00415FFE"/>
    <w:rsid w:val="00422058"/>
    <w:rsid w:val="004230FE"/>
    <w:rsid w:val="0043515D"/>
    <w:rsid w:val="00435D02"/>
    <w:rsid w:val="00440414"/>
    <w:rsid w:val="00446890"/>
    <w:rsid w:val="004510C8"/>
    <w:rsid w:val="00464334"/>
    <w:rsid w:val="00464D02"/>
    <w:rsid w:val="00467E43"/>
    <w:rsid w:val="00474504"/>
    <w:rsid w:val="00475C47"/>
    <w:rsid w:val="004801A5"/>
    <w:rsid w:val="004817C0"/>
    <w:rsid w:val="004853B3"/>
    <w:rsid w:val="00487C79"/>
    <w:rsid w:val="00495E62"/>
    <w:rsid w:val="004963D7"/>
    <w:rsid w:val="00496E07"/>
    <w:rsid w:val="004A2A13"/>
    <w:rsid w:val="004A2AB7"/>
    <w:rsid w:val="004A76AE"/>
    <w:rsid w:val="004C3955"/>
    <w:rsid w:val="004C4F13"/>
    <w:rsid w:val="004C595E"/>
    <w:rsid w:val="004D08AA"/>
    <w:rsid w:val="004D0FC7"/>
    <w:rsid w:val="004D2C96"/>
    <w:rsid w:val="004D2D59"/>
    <w:rsid w:val="004D3373"/>
    <w:rsid w:val="004E1DBE"/>
    <w:rsid w:val="004E4EFF"/>
    <w:rsid w:val="004E6B1E"/>
    <w:rsid w:val="004F15F5"/>
    <w:rsid w:val="004F264D"/>
    <w:rsid w:val="004F6096"/>
    <w:rsid w:val="004F7D35"/>
    <w:rsid w:val="00501AC1"/>
    <w:rsid w:val="00504B02"/>
    <w:rsid w:val="005104B9"/>
    <w:rsid w:val="00513A08"/>
    <w:rsid w:val="0051598B"/>
    <w:rsid w:val="00516349"/>
    <w:rsid w:val="00517F0E"/>
    <w:rsid w:val="005214DB"/>
    <w:rsid w:val="00530AD2"/>
    <w:rsid w:val="00530B24"/>
    <w:rsid w:val="00543872"/>
    <w:rsid w:val="00546860"/>
    <w:rsid w:val="00547EB7"/>
    <w:rsid w:val="00553C35"/>
    <w:rsid w:val="005546F2"/>
    <w:rsid w:val="005666AB"/>
    <w:rsid w:val="005679D1"/>
    <w:rsid w:val="00575FD5"/>
    <w:rsid w:val="00580FC1"/>
    <w:rsid w:val="005856B7"/>
    <w:rsid w:val="00585999"/>
    <w:rsid w:val="00585D48"/>
    <w:rsid w:val="005870F9"/>
    <w:rsid w:val="00595EC2"/>
    <w:rsid w:val="005A26F3"/>
    <w:rsid w:val="005A6A8C"/>
    <w:rsid w:val="005A6C4B"/>
    <w:rsid w:val="005A70F8"/>
    <w:rsid w:val="005B2A6F"/>
    <w:rsid w:val="005B3311"/>
    <w:rsid w:val="005B3BC8"/>
    <w:rsid w:val="005B6F6F"/>
    <w:rsid w:val="005C123E"/>
    <w:rsid w:val="005C138F"/>
    <w:rsid w:val="005C31D7"/>
    <w:rsid w:val="005C3906"/>
    <w:rsid w:val="005C74D1"/>
    <w:rsid w:val="005C7CAE"/>
    <w:rsid w:val="005D1C25"/>
    <w:rsid w:val="005D5670"/>
    <w:rsid w:val="005E019B"/>
    <w:rsid w:val="005E0AD1"/>
    <w:rsid w:val="005E308E"/>
    <w:rsid w:val="005E45C8"/>
    <w:rsid w:val="005F621B"/>
    <w:rsid w:val="00610AD9"/>
    <w:rsid w:val="00610BC8"/>
    <w:rsid w:val="00611E2F"/>
    <w:rsid w:val="00613627"/>
    <w:rsid w:val="0062200B"/>
    <w:rsid w:val="00624A53"/>
    <w:rsid w:val="0063146D"/>
    <w:rsid w:val="00633E43"/>
    <w:rsid w:val="00635ADA"/>
    <w:rsid w:val="00646810"/>
    <w:rsid w:val="00646E6D"/>
    <w:rsid w:val="00651FD1"/>
    <w:rsid w:val="00654297"/>
    <w:rsid w:val="00660DB7"/>
    <w:rsid w:val="00661E82"/>
    <w:rsid w:val="00663913"/>
    <w:rsid w:val="006702CF"/>
    <w:rsid w:val="00670B68"/>
    <w:rsid w:val="00684447"/>
    <w:rsid w:val="00684955"/>
    <w:rsid w:val="0068528A"/>
    <w:rsid w:val="00686941"/>
    <w:rsid w:val="00687903"/>
    <w:rsid w:val="00695396"/>
    <w:rsid w:val="00697A6F"/>
    <w:rsid w:val="006A1007"/>
    <w:rsid w:val="006A12F2"/>
    <w:rsid w:val="006A43A0"/>
    <w:rsid w:val="006A44BA"/>
    <w:rsid w:val="006A4768"/>
    <w:rsid w:val="006A51FB"/>
    <w:rsid w:val="006A5963"/>
    <w:rsid w:val="006A61C1"/>
    <w:rsid w:val="006B4774"/>
    <w:rsid w:val="006B4F3B"/>
    <w:rsid w:val="006C6961"/>
    <w:rsid w:val="006C6B1C"/>
    <w:rsid w:val="006C7E13"/>
    <w:rsid w:val="006D18BD"/>
    <w:rsid w:val="006D1E27"/>
    <w:rsid w:val="006D6DC2"/>
    <w:rsid w:val="006D7876"/>
    <w:rsid w:val="006D7CB5"/>
    <w:rsid w:val="006E3BD9"/>
    <w:rsid w:val="006E4694"/>
    <w:rsid w:val="006E4ABF"/>
    <w:rsid w:val="006F2983"/>
    <w:rsid w:val="006F2DC8"/>
    <w:rsid w:val="006F2FCC"/>
    <w:rsid w:val="00701724"/>
    <w:rsid w:val="00705D89"/>
    <w:rsid w:val="0070717C"/>
    <w:rsid w:val="00712809"/>
    <w:rsid w:val="00713E1B"/>
    <w:rsid w:val="007169D4"/>
    <w:rsid w:val="00716DDB"/>
    <w:rsid w:val="00720A97"/>
    <w:rsid w:val="0072212B"/>
    <w:rsid w:val="00724E9E"/>
    <w:rsid w:val="00727E35"/>
    <w:rsid w:val="007300A9"/>
    <w:rsid w:val="00731446"/>
    <w:rsid w:val="00734953"/>
    <w:rsid w:val="0073602C"/>
    <w:rsid w:val="007370D9"/>
    <w:rsid w:val="00737A03"/>
    <w:rsid w:val="00737CC5"/>
    <w:rsid w:val="00740BD4"/>
    <w:rsid w:val="00742E15"/>
    <w:rsid w:val="0074409B"/>
    <w:rsid w:val="00745F59"/>
    <w:rsid w:val="00750F06"/>
    <w:rsid w:val="007533C0"/>
    <w:rsid w:val="0075671C"/>
    <w:rsid w:val="00764FF6"/>
    <w:rsid w:val="007654B4"/>
    <w:rsid w:val="00766833"/>
    <w:rsid w:val="00772AD6"/>
    <w:rsid w:val="00784A4D"/>
    <w:rsid w:val="00787737"/>
    <w:rsid w:val="007964D4"/>
    <w:rsid w:val="00796D29"/>
    <w:rsid w:val="007A031D"/>
    <w:rsid w:val="007A0440"/>
    <w:rsid w:val="007A0450"/>
    <w:rsid w:val="007A525A"/>
    <w:rsid w:val="007B16AA"/>
    <w:rsid w:val="007B1D0C"/>
    <w:rsid w:val="007B2377"/>
    <w:rsid w:val="007B5F0F"/>
    <w:rsid w:val="007C209C"/>
    <w:rsid w:val="007C5789"/>
    <w:rsid w:val="007C612A"/>
    <w:rsid w:val="007C71CB"/>
    <w:rsid w:val="007D1994"/>
    <w:rsid w:val="007D3F9B"/>
    <w:rsid w:val="007D5E04"/>
    <w:rsid w:val="007E024A"/>
    <w:rsid w:val="007E1D5E"/>
    <w:rsid w:val="007F0612"/>
    <w:rsid w:val="007F0CE0"/>
    <w:rsid w:val="007F388F"/>
    <w:rsid w:val="007F427E"/>
    <w:rsid w:val="007F5157"/>
    <w:rsid w:val="007F77E0"/>
    <w:rsid w:val="00804888"/>
    <w:rsid w:val="00804F1E"/>
    <w:rsid w:val="00816ED6"/>
    <w:rsid w:val="00820F4C"/>
    <w:rsid w:val="0082482C"/>
    <w:rsid w:val="00825C0A"/>
    <w:rsid w:val="00832C96"/>
    <w:rsid w:val="008417E9"/>
    <w:rsid w:val="00842699"/>
    <w:rsid w:val="0085059F"/>
    <w:rsid w:val="008523EB"/>
    <w:rsid w:val="00853E54"/>
    <w:rsid w:val="00860730"/>
    <w:rsid w:val="00860DBF"/>
    <w:rsid w:val="008704E8"/>
    <w:rsid w:val="00871535"/>
    <w:rsid w:val="00874DF6"/>
    <w:rsid w:val="00874FE4"/>
    <w:rsid w:val="008810BE"/>
    <w:rsid w:val="00881C1E"/>
    <w:rsid w:val="008839D9"/>
    <w:rsid w:val="00884A2C"/>
    <w:rsid w:val="00887235"/>
    <w:rsid w:val="00887E0F"/>
    <w:rsid w:val="00897E89"/>
    <w:rsid w:val="008A7CB9"/>
    <w:rsid w:val="008B6D27"/>
    <w:rsid w:val="008C188B"/>
    <w:rsid w:val="008D00CD"/>
    <w:rsid w:val="008D10A0"/>
    <w:rsid w:val="008D564C"/>
    <w:rsid w:val="008D59D5"/>
    <w:rsid w:val="008E2BA1"/>
    <w:rsid w:val="008E2CE2"/>
    <w:rsid w:val="008F1E4F"/>
    <w:rsid w:val="008F22BB"/>
    <w:rsid w:val="008F3299"/>
    <w:rsid w:val="008F76CF"/>
    <w:rsid w:val="009003FF"/>
    <w:rsid w:val="00901E0A"/>
    <w:rsid w:val="0090430D"/>
    <w:rsid w:val="009144BD"/>
    <w:rsid w:val="0092193B"/>
    <w:rsid w:val="00922EBE"/>
    <w:rsid w:val="0092399D"/>
    <w:rsid w:val="00927532"/>
    <w:rsid w:val="009300F4"/>
    <w:rsid w:val="009332F4"/>
    <w:rsid w:val="0094483E"/>
    <w:rsid w:val="00955982"/>
    <w:rsid w:val="00955DE9"/>
    <w:rsid w:val="009579E3"/>
    <w:rsid w:val="00960026"/>
    <w:rsid w:val="00971C81"/>
    <w:rsid w:val="00973E23"/>
    <w:rsid w:val="0097708E"/>
    <w:rsid w:val="00981822"/>
    <w:rsid w:val="00984637"/>
    <w:rsid w:val="009852A2"/>
    <w:rsid w:val="00987A21"/>
    <w:rsid w:val="00990C89"/>
    <w:rsid w:val="009940A8"/>
    <w:rsid w:val="00994768"/>
    <w:rsid w:val="00994AE6"/>
    <w:rsid w:val="009A47BC"/>
    <w:rsid w:val="009A47BD"/>
    <w:rsid w:val="009A60F7"/>
    <w:rsid w:val="009A7CEF"/>
    <w:rsid w:val="009B01F9"/>
    <w:rsid w:val="009B311F"/>
    <w:rsid w:val="009C19B5"/>
    <w:rsid w:val="009C57A7"/>
    <w:rsid w:val="009C5BF4"/>
    <w:rsid w:val="009C5D8E"/>
    <w:rsid w:val="009C5F48"/>
    <w:rsid w:val="009D3989"/>
    <w:rsid w:val="009D5D7A"/>
    <w:rsid w:val="009E10AA"/>
    <w:rsid w:val="009E17CD"/>
    <w:rsid w:val="009E1B86"/>
    <w:rsid w:val="009E31D2"/>
    <w:rsid w:val="009E5E85"/>
    <w:rsid w:val="009F1095"/>
    <w:rsid w:val="00A051C9"/>
    <w:rsid w:val="00A06AA2"/>
    <w:rsid w:val="00A16E8C"/>
    <w:rsid w:val="00A175C9"/>
    <w:rsid w:val="00A20037"/>
    <w:rsid w:val="00A220F1"/>
    <w:rsid w:val="00A248F2"/>
    <w:rsid w:val="00A25073"/>
    <w:rsid w:val="00A264F8"/>
    <w:rsid w:val="00A265D6"/>
    <w:rsid w:val="00A2703C"/>
    <w:rsid w:val="00A32E86"/>
    <w:rsid w:val="00A45A5E"/>
    <w:rsid w:val="00A55900"/>
    <w:rsid w:val="00A57831"/>
    <w:rsid w:val="00A664D3"/>
    <w:rsid w:val="00A73EAB"/>
    <w:rsid w:val="00A756D5"/>
    <w:rsid w:val="00A81A9D"/>
    <w:rsid w:val="00A82565"/>
    <w:rsid w:val="00A83701"/>
    <w:rsid w:val="00A851A2"/>
    <w:rsid w:val="00A91844"/>
    <w:rsid w:val="00A92B72"/>
    <w:rsid w:val="00A9463F"/>
    <w:rsid w:val="00A95BD4"/>
    <w:rsid w:val="00A969BA"/>
    <w:rsid w:val="00A96EF8"/>
    <w:rsid w:val="00AA05FF"/>
    <w:rsid w:val="00AA2EF6"/>
    <w:rsid w:val="00AA34C3"/>
    <w:rsid w:val="00AA49AC"/>
    <w:rsid w:val="00AA566A"/>
    <w:rsid w:val="00AA5B78"/>
    <w:rsid w:val="00AA6D3B"/>
    <w:rsid w:val="00AB0470"/>
    <w:rsid w:val="00AB4390"/>
    <w:rsid w:val="00AB6828"/>
    <w:rsid w:val="00AC3BC6"/>
    <w:rsid w:val="00AC545C"/>
    <w:rsid w:val="00AC5EB4"/>
    <w:rsid w:val="00AC614B"/>
    <w:rsid w:val="00AD1B17"/>
    <w:rsid w:val="00AD3155"/>
    <w:rsid w:val="00AE0875"/>
    <w:rsid w:val="00AE1129"/>
    <w:rsid w:val="00AE3599"/>
    <w:rsid w:val="00AF4E3D"/>
    <w:rsid w:val="00AF5D3C"/>
    <w:rsid w:val="00B04139"/>
    <w:rsid w:val="00B060F5"/>
    <w:rsid w:val="00B07F9F"/>
    <w:rsid w:val="00B1000F"/>
    <w:rsid w:val="00B23C51"/>
    <w:rsid w:val="00B3227A"/>
    <w:rsid w:val="00B32B71"/>
    <w:rsid w:val="00B32F95"/>
    <w:rsid w:val="00B374A1"/>
    <w:rsid w:val="00B41E02"/>
    <w:rsid w:val="00B41E47"/>
    <w:rsid w:val="00B47E5C"/>
    <w:rsid w:val="00B51F0B"/>
    <w:rsid w:val="00B54AA1"/>
    <w:rsid w:val="00B54E3F"/>
    <w:rsid w:val="00B60E1C"/>
    <w:rsid w:val="00B662B1"/>
    <w:rsid w:val="00B7129B"/>
    <w:rsid w:val="00B758DB"/>
    <w:rsid w:val="00B805D2"/>
    <w:rsid w:val="00B86AB3"/>
    <w:rsid w:val="00B872CA"/>
    <w:rsid w:val="00B87AA4"/>
    <w:rsid w:val="00B91063"/>
    <w:rsid w:val="00B922AC"/>
    <w:rsid w:val="00B97C89"/>
    <w:rsid w:val="00BA2186"/>
    <w:rsid w:val="00BA4AC1"/>
    <w:rsid w:val="00BB2615"/>
    <w:rsid w:val="00BB333B"/>
    <w:rsid w:val="00BB38D0"/>
    <w:rsid w:val="00BB5838"/>
    <w:rsid w:val="00BB6CE9"/>
    <w:rsid w:val="00BC22C8"/>
    <w:rsid w:val="00BC2A2A"/>
    <w:rsid w:val="00BD5DBF"/>
    <w:rsid w:val="00BE64BB"/>
    <w:rsid w:val="00BF0792"/>
    <w:rsid w:val="00BF5293"/>
    <w:rsid w:val="00BF62EF"/>
    <w:rsid w:val="00C010FE"/>
    <w:rsid w:val="00C04B50"/>
    <w:rsid w:val="00C074A3"/>
    <w:rsid w:val="00C15505"/>
    <w:rsid w:val="00C16D1F"/>
    <w:rsid w:val="00C175BE"/>
    <w:rsid w:val="00C20CF3"/>
    <w:rsid w:val="00C221CA"/>
    <w:rsid w:val="00C22406"/>
    <w:rsid w:val="00C2454F"/>
    <w:rsid w:val="00C305A7"/>
    <w:rsid w:val="00C33883"/>
    <w:rsid w:val="00C34F76"/>
    <w:rsid w:val="00C35174"/>
    <w:rsid w:val="00C35B3C"/>
    <w:rsid w:val="00C368E6"/>
    <w:rsid w:val="00C418C5"/>
    <w:rsid w:val="00C41D2F"/>
    <w:rsid w:val="00C44361"/>
    <w:rsid w:val="00C56405"/>
    <w:rsid w:val="00C564EC"/>
    <w:rsid w:val="00C61F9D"/>
    <w:rsid w:val="00C62F63"/>
    <w:rsid w:val="00C6587E"/>
    <w:rsid w:val="00C67823"/>
    <w:rsid w:val="00C67AA5"/>
    <w:rsid w:val="00C747DD"/>
    <w:rsid w:val="00C75A3E"/>
    <w:rsid w:val="00C80641"/>
    <w:rsid w:val="00C82CB2"/>
    <w:rsid w:val="00C844C3"/>
    <w:rsid w:val="00C95EC8"/>
    <w:rsid w:val="00CA7D94"/>
    <w:rsid w:val="00CB1DB6"/>
    <w:rsid w:val="00CB64BA"/>
    <w:rsid w:val="00CB72E4"/>
    <w:rsid w:val="00CD7314"/>
    <w:rsid w:val="00CE3A41"/>
    <w:rsid w:val="00CF04E4"/>
    <w:rsid w:val="00CF13B9"/>
    <w:rsid w:val="00D0705F"/>
    <w:rsid w:val="00D07108"/>
    <w:rsid w:val="00D07904"/>
    <w:rsid w:val="00D11530"/>
    <w:rsid w:val="00D1292D"/>
    <w:rsid w:val="00D157E9"/>
    <w:rsid w:val="00D159E0"/>
    <w:rsid w:val="00D22F4C"/>
    <w:rsid w:val="00D264AB"/>
    <w:rsid w:val="00D277E6"/>
    <w:rsid w:val="00D328EB"/>
    <w:rsid w:val="00D32AFB"/>
    <w:rsid w:val="00D348A3"/>
    <w:rsid w:val="00D356AB"/>
    <w:rsid w:val="00D356D2"/>
    <w:rsid w:val="00D362D9"/>
    <w:rsid w:val="00D43012"/>
    <w:rsid w:val="00D4323A"/>
    <w:rsid w:val="00D50187"/>
    <w:rsid w:val="00D5387A"/>
    <w:rsid w:val="00D53FE0"/>
    <w:rsid w:val="00D5745C"/>
    <w:rsid w:val="00D60C80"/>
    <w:rsid w:val="00D62FA2"/>
    <w:rsid w:val="00D65DDD"/>
    <w:rsid w:val="00D66D35"/>
    <w:rsid w:val="00D679EF"/>
    <w:rsid w:val="00D7615D"/>
    <w:rsid w:val="00D772C3"/>
    <w:rsid w:val="00D77851"/>
    <w:rsid w:val="00D77ECD"/>
    <w:rsid w:val="00D92F08"/>
    <w:rsid w:val="00D9399D"/>
    <w:rsid w:val="00DA1C6A"/>
    <w:rsid w:val="00DA45E7"/>
    <w:rsid w:val="00DA4C0C"/>
    <w:rsid w:val="00DA6C43"/>
    <w:rsid w:val="00DA7F47"/>
    <w:rsid w:val="00DB0543"/>
    <w:rsid w:val="00DC465D"/>
    <w:rsid w:val="00DC5FF9"/>
    <w:rsid w:val="00DC6BA3"/>
    <w:rsid w:val="00DC7AC9"/>
    <w:rsid w:val="00DD10BF"/>
    <w:rsid w:val="00DD1503"/>
    <w:rsid w:val="00DD29A0"/>
    <w:rsid w:val="00DD343F"/>
    <w:rsid w:val="00DD426A"/>
    <w:rsid w:val="00DD5C70"/>
    <w:rsid w:val="00DE21AA"/>
    <w:rsid w:val="00DF0814"/>
    <w:rsid w:val="00DF5508"/>
    <w:rsid w:val="00E01E21"/>
    <w:rsid w:val="00E02CF9"/>
    <w:rsid w:val="00E12279"/>
    <w:rsid w:val="00E1429E"/>
    <w:rsid w:val="00E20542"/>
    <w:rsid w:val="00E22C20"/>
    <w:rsid w:val="00E26B3B"/>
    <w:rsid w:val="00E27045"/>
    <w:rsid w:val="00E31E3E"/>
    <w:rsid w:val="00E343BE"/>
    <w:rsid w:val="00E403BF"/>
    <w:rsid w:val="00E462A7"/>
    <w:rsid w:val="00E604A6"/>
    <w:rsid w:val="00E611F4"/>
    <w:rsid w:val="00E64026"/>
    <w:rsid w:val="00E644F7"/>
    <w:rsid w:val="00E66140"/>
    <w:rsid w:val="00E700FF"/>
    <w:rsid w:val="00E71D4F"/>
    <w:rsid w:val="00E759A4"/>
    <w:rsid w:val="00E800FD"/>
    <w:rsid w:val="00E81468"/>
    <w:rsid w:val="00E90EFB"/>
    <w:rsid w:val="00E933C1"/>
    <w:rsid w:val="00E9417F"/>
    <w:rsid w:val="00E9607E"/>
    <w:rsid w:val="00EA3218"/>
    <w:rsid w:val="00EA3FEF"/>
    <w:rsid w:val="00EA537B"/>
    <w:rsid w:val="00EB0561"/>
    <w:rsid w:val="00EB4986"/>
    <w:rsid w:val="00EB58C8"/>
    <w:rsid w:val="00EB7079"/>
    <w:rsid w:val="00EC09C3"/>
    <w:rsid w:val="00EC12DE"/>
    <w:rsid w:val="00EC2C80"/>
    <w:rsid w:val="00EC5D60"/>
    <w:rsid w:val="00EC5EF0"/>
    <w:rsid w:val="00EC68B8"/>
    <w:rsid w:val="00EC7D9C"/>
    <w:rsid w:val="00ED08CD"/>
    <w:rsid w:val="00ED3240"/>
    <w:rsid w:val="00ED5153"/>
    <w:rsid w:val="00ED78FA"/>
    <w:rsid w:val="00ED7D80"/>
    <w:rsid w:val="00EE096B"/>
    <w:rsid w:val="00EE0A40"/>
    <w:rsid w:val="00EE0FC2"/>
    <w:rsid w:val="00EE146A"/>
    <w:rsid w:val="00EE1FB3"/>
    <w:rsid w:val="00EF1736"/>
    <w:rsid w:val="00EF272D"/>
    <w:rsid w:val="00EF2BD1"/>
    <w:rsid w:val="00EF32A9"/>
    <w:rsid w:val="00EF393E"/>
    <w:rsid w:val="00EF6F61"/>
    <w:rsid w:val="00EF7D91"/>
    <w:rsid w:val="00F00994"/>
    <w:rsid w:val="00F06ADB"/>
    <w:rsid w:val="00F07782"/>
    <w:rsid w:val="00F16CDA"/>
    <w:rsid w:val="00F17655"/>
    <w:rsid w:val="00F24BED"/>
    <w:rsid w:val="00F37FFA"/>
    <w:rsid w:val="00F42A3F"/>
    <w:rsid w:val="00F42E08"/>
    <w:rsid w:val="00F44B82"/>
    <w:rsid w:val="00F47ABA"/>
    <w:rsid w:val="00F52337"/>
    <w:rsid w:val="00F5374D"/>
    <w:rsid w:val="00F54A75"/>
    <w:rsid w:val="00F61D94"/>
    <w:rsid w:val="00F66665"/>
    <w:rsid w:val="00F673F2"/>
    <w:rsid w:val="00F72042"/>
    <w:rsid w:val="00F72AA7"/>
    <w:rsid w:val="00F72BDB"/>
    <w:rsid w:val="00F73AAE"/>
    <w:rsid w:val="00F75A74"/>
    <w:rsid w:val="00F81BBA"/>
    <w:rsid w:val="00F83CD8"/>
    <w:rsid w:val="00F85B41"/>
    <w:rsid w:val="00F86390"/>
    <w:rsid w:val="00F90048"/>
    <w:rsid w:val="00F91491"/>
    <w:rsid w:val="00FA2F29"/>
    <w:rsid w:val="00FA3146"/>
    <w:rsid w:val="00FB009E"/>
    <w:rsid w:val="00FB0A58"/>
    <w:rsid w:val="00FB3016"/>
    <w:rsid w:val="00FB5460"/>
    <w:rsid w:val="00FC3914"/>
    <w:rsid w:val="00FC5B38"/>
    <w:rsid w:val="00FD3A67"/>
    <w:rsid w:val="00FD54FE"/>
    <w:rsid w:val="00FE0451"/>
    <w:rsid w:val="00FE0E6B"/>
    <w:rsid w:val="00FE3DA0"/>
    <w:rsid w:val="00FF0987"/>
    <w:rsid w:val="00FF1641"/>
    <w:rsid w:val="00FF6572"/>
    <w:rsid w:val="01114B2A"/>
    <w:rsid w:val="01702CBD"/>
    <w:rsid w:val="02447BC9"/>
    <w:rsid w:val="04691774"/>
    <w:rsid w:val="04E94379"/>
    <w:rsid w:val="05206E51"/>
    <w:rsid w:val="05D4451F"/>
    <w:rsid w:val="06E236EC"/>
    <w:rsid w:val="08362EEE"/>
    <w:rsid w:val="08676114"/>
    <w:rsid w:val="08CA7AF5"/>
    <w:rsid w:val="091548AC"/>
    <w:rsid w:val="09A054B1"/>
    <w:rsid w:val="09AE1D6F"/>
    <w:rsid w:val="0A000CCC"/>
    <w:rsid w:val="0AC34483"/>
    <w:rsid w:val="0B0872B9"/>
    <w:rsid w:val="0B583A62"/>
    <w:rsid w:val="0BE60D6F"/>
    <w:rsid w:val="0BF50DEC"/>
    <w:rsid w:val="0E3F371E"/>
    <w:rsid w:val="0EA727E0"/>
    <w:rsid w:val="0F3D5528"/>
    <w:rsid w:val="0F7F4D65"/>
    <w:rsid w:val="0F9C7C22"/>
    <w:rsid w:val="1114207F"/>
    <w:rsid w:val="11472FA6"/>
    <w:rsid w:val="116A05A5"/>
    <w:rsid w:val="128C15D7"/>
    <w:rsid w:val="13CB0D78"/>
    <w:rsid w:val="14463401"/>
    <w:rsid w:val="14A25D79"/>
    <w:rsid w:val="14DB76F5"/>
    <w:rsid w:val="15481C66"/>
    <w:rsid w:val="160F6151"/>
    <w:rsid w:val="16590575"/>
    <w:rsid w:val="16C11EC6"/>
    <w:rsid w:val="16CD6840"/>
    <w:rsid w:val="17147421"/>
    <w:rsid w:val="175B5634"/>
    <w:rsid w:val="1886257B"/>
    <w:rsid w:val="1A416BAA"/>
    <w:rsid w:val="1A957331"/>
    <w:rsid w:val="1B0E5527"/>
    <w:rsid w:val="1B157024"/>
    <w:rsid w:val="1B7C44CB"/>
    <w:rsid w:val="1C030B6E"/>
    <w:rsid w:val="1C67222F"/>
    <w:rsid w:val="1D876A44"/>
    <w:rsid w:val="1EB60DBB"/>
    <w:rsid w:val="1EE3073F"/>
    <w:rsid w:val="1F0259FA"/>
    <w:rsid w:val="1F1541F1"/>
    <w:rsid w:val="220167EB"/>
    <w:rsid w:val="22CD5008"/>
    <w:rsid w:val="242F7C26"/>
    <w:rsid w:val="24AD42A6"/>
    <w:rsid w:val="254164B0"/>
    <w:rsid w:val="254F19F2"/>
    <w:rsid w:val="27FF085A"/>
    <w:rsid w:val="287E55D2"/>
    <w:rsid w:val="295708FD"/>
    <w:rsid w:val="299C5A1A"/>
    <w:rsid w:val="2A8F6ED1"/>
    <w:rsid w:val="2B1C3046"/>
    <w:rsid w:val="2C774FA0"/>
    <w:rsid w:val="2C7F6F40"/>
    <w:rsid w:val="2C8D7635"/>
    <w:rsid w:val="2CC77B67"/>
    <w:rsid w:val="2CEB1E8B"/>
    <w:rsid w:val="2DC77AF6"/>
    <w:rsid w:val="2E270F53"/>
    <w:rsid w:val="2E8E6CB2"/>
    <w:rsid w:val="31DF0F80"/>
    <w:rsid w:val="329823EE"/>
    <w:rsid w:val="332C05BB"/>
    <w:rsid w:val="338864B6"/>
    <w:rsid w:val="344929FA"/>
    <w:rsid w:val="34D54882"/>
    <w:rsid w:val="35BB5737"/>
    <w:rsid w:val="360D6A5B"/>
    <w:rsid w:val="37B336DF"/>
    <w:rsid w:val="37D57251"/>
    <w:rsid w:val="380E4EF2"/>
    <w:rsid w:val="38184E42"/>
    <w:rsid w:val="388E7474"/>
    <w:rsid w:val="38F81649"/>
    <w:rsid w:val="39580BD9"/>
    <w:rsid w:val="39F26349"/>
    <w:rsid w:val="3A764B5C"/>
    <w:rsid w:val="3AC67388"/>
    <w:rsid w:val="3B8613F2"/>
    <w:rsid w:val="3C270E20"/>
    <w:rsid w:val="3DE80671"/>
    <w:rsid w:val="3E59117C"/>
    <w:rsid w:val="3F961C82"/>
    <w:rsid w:val="40993106"/>
    <w:rsid w:val="41A67B85"/>
    <w:rsid w:val="41C0398B"/>
    <w:rsid w:val="41DD77E2"/>
    <w:rsid w:val="42331EC1"/>
    <w:rsid w:val="42F04CEE"/>
    <w:rsid w:val="433D0993"/>
    <w:rsid w:val="43553B57"/>
    <w:rsid w:val="44561A8A"/>
    <w:rsid w:val="445E42F9"/>
    <w:rsid w:val="44695686"/>
    <w:rsid w:val="44917FF5"/>
    <w:rsid w:val="45737EE2"/>
    <w:rsid w:val="465261FF"/>
    <w:rsid w:val="468377A8"/>
    <w:rsid w:val="48204EEB"/>
    <w:rsid w:val="48965D4B"/>
    <w:rsid w:val="4A477482"/>
    <w:rsid w:val="4B84012C"/>
    <w:rsid w:val="4BD12A29"/>
    <w:rsid w:val="4BD349C5"/>
    <w:rsid w:val="4C971240"/>
    <w:rsid w:val="4D975480"/>
    <w:rsid w:val="4DAE4233"/>
    <w:rsid w:val="4E1D1C3E"/>
    <w:rsid w:val="4E4C1708"/>
    <w:rsid w:val="4EB11E26"/>
    <w:rsid w:val="4F3772EF"/>
    <w:rsid w:val="4F48539F"/>
    <w:rsid w:val="4FA56508"/>
    <w:rsid w:val="4FE33940"/>
    <w:rsid w:val="50BF5176"/>
    <w:rsid w:val="51243453"/>
    <w:rsid w:val="513E5EA3"/>
    <w:rsid w:val="524D46A2"/>
    <w:rsid w:val="53A93EFE"/>
    <w:rsid w:val="53D12E33"/>
    <w:rsid w:val="54312ED9"/>
    <w:rsid w:val="54A04320"/>
    <w:rsid w:val="55C300FF"/>
    <w:rsid w:val="56A3491E"/>
    <w:rsid w:val="56EE5E26"/>
    <w:rsid w:val="590B55CC"/>
    <w:rsid w:val="595F4A1A"/>
    <w:rsid w:val="5A096038"/>
    <w:rsid w:val="5B4B2E3B"/>
    <w:rsid w:val="5B5F03A4"/>
    <w:rsid w:val="5B87041C"/>
    <w:rsid w:val="5BB2583C"/>
    <w:rsid w:val="5C485EC8"/>
    <w:rsid w:val="5D830AF9"/>
    <w:rsid w:val="5DD665FB"/>
    <w:rsid w:val="5E32118B"/>
    <w:rsid w:val="5E491F0F"/>
    <w:rsid w:val="5EDC297D"/>
    <w:rsid w:val="5FB13B8C"/>
    <w:rsid w:val="5FEE38E1"/>
    <w:rsid w:val="60037840"/>
    <w:rsid w:val="60235E44"/>
    <w:rsid w:val="609D0698"/>
    <w:rsid w:val="60F2475C"/>
    <w:rsid w:val="6167526C"/>
    <w:rsid w:val="620A0A2C"/>
    <w:rsid w:val="6226352F"/>
    <w:rsid w:val="623F0FA7"/>
    <w:rsid w:val="6247117C"/>
    <w:rsid w:val="62CE61AB"/>
    <w:rsid w:val="63A23557"/>
    <w:rsid w:val="64852C29"/>
    <w:rsid w:val="656F399C"/>
    <w:rsid w:val="661E3DFE"/>
    <w:rsid w:val="66380BB3"/>
    <w:rsid w:val="66FE0921"/>
    <w:rsid w:val="689A3344"/>
    <w:rsid w:val="689C6F87"/>
    <w:rsid w:val="68F0704E"/>
    <w:rsid w:val="694464D5"/>
    <w:rsid w:val="69894D12"/>
    <w:rsid w:val="6A0424CC"/>
    <w:rsid w:val="6A206959"/>
    <w:rsid w:val="6AC03594"/>
    <w:rsid w:val="6B110949"/>
    <w:rsid w:val="6B1F4628"/>
    <w:rsid w:val="6B2078B0"/>
    <w:rsid w:val="6B334B27"/>
    <w:rsid w:val="6B6B7709"/>
    <w:rsid w:val="6BBC14B1"/>
    <w:rsid w:val="6D7B4D8C"/>
    <w:rsid w:val="6E136907"/>
    <w:rsid w:val="6EC43803"/>
    <w:rsid w:val="6EF75C2C"/>
    <w:rsid w:val="6FF15617"/>
    <w:rsid w:val="702D071E"/>
    <w:rsid w:val="70A549E5"/>
    <w:rsid w:val="70C900EB"/>
    <w:rsid w:val="71D13049"/>
    <w:rsid w:val="72587B00"/>
    <w:rsid w:val="72B336AE"/>
    <w:rsid w:val="748E69FE"/>
    <w:rsid w:val="74B35271"/>
    <w:rsid w:val="74C22539"/>
    <w:rsid w:val="74EE3E08"/>
    <w:rsid w:val="75330EF0"/>
    <w:rsid w:val="76A7704C"/>
    <w:rsid w:val="774573BE"/>
    <w:rsid w:val="782D1140"/>
    <w:rsid w:val="789B4671"/>
    <w:rsid w:val="790D45AF"/>
    <w:rsid w:val="7925066D"/>
    <w:rsid w:val="797A0A60"/>
    <w:rsid w:val="7AA13B4E"/>
    <w:rsid w:val="7AA60162"/>
    <w:rsid w:val="7AB85278"/>
    <w:rsid w:val="7C0F6399"/>
    <w:rsid w:val="7C382943"/>
    <w:rsid w:val="7C8C39E9"/>
    <w:rsid w:val="7E147AD4"/>
    <w:rsid w:val="7E3131BF"/>
    <w:rsid w:val="7E965FB4"/>
    <w:rsid w:val="7EF756F6"/>
    <w:rsid w:val="7F46226E"/>
    <w:rsid w:val="7F8666F9"/>
    <w:rsid w:val="7FA5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eastAsia="楷体_GB2312"/>
      <w:b/>
      <w:kern w:val="44"/>
      <w:sz w:val="44"/>
      <w:szCs w:val="20"/>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35"/>
    <w:autoRedefine/>
    <w:qFormat/>
    <w:uiPriority w:val="0"/>
    <w:pPr>
      <w:keepNext/>
      <w:keepLines/>
      <w:spacing w:before="280" w:after="290" w:line="376" w:lineRule="auto"/>
      <w:outlineLvl w:val="3"/>
    </w:pPr>
    <w:rPr>
      <w:rFonts w:ascii="Cambria" w:hAnsi="Cambria"/>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36"/>
    <w:autoRedefine/>
    <w:qFormat/>
    <w:uiPriority w:val="0"/>
    <w:pPr>
      <w:autoSpaceDE w:val="0"/>
      <w:autoSpaceDN w:val="0"/>
      <w:adjustRightInd w:val="0"/>
      <w:ind w:firstLine="420"/>
      <w:jc w:val="left"/>
    </w:pPr>
    <w:rPr>
      <w:rFonts w:ascii="宋体"/>
      <w:kern w:val="0"/>
      <w:sz w:val="24"/>
      <w:szCs w:val="20"/>
    </w:rPr>
  </w:style>
  <w:style w:type="paragraph" w:styleId="7">
    <w:name w:val="index 5"/>
    <w:basedOn w:val="1"/>
    <w:next w:val="1"/>
    <w:autoRedefine/>
    <w:qFormat/>
    <w:uiPriority w:val="0"/>
    <w:pPr>
      <w:widowControl/>
      <w:spacing w:line="240" w:lineRule="atLeast"/>
      <w:ind w:left="800" w:leftChars="800"/>
    </w:pPr>
    <w:rPr>
      <w:rFonts w:ascii="Arial" w:hAnsi="Arial"/>
      <w:kern w:val="0"/>
      <w:szCs w:val="21"/>
    </w:rPr>
  </w:style>
  <w:style w:type="paragraph" w:styleId="8">
    <w:name w:val="annotation text"/>
    <w:basedOn w:val="1"/>
    <w:link w:val="37"/>
    <w:autoRedefine/>
    <w:qFormat/>
    <w:uiPriority w:val="0"/>
    <w:pPr>
      <w:jc w:val="left"/>
    </w:pPr>
    <w:rPr>
      <w:rFonts w:eastAsia="楷体_GB2312"/>
      <w:sz w:val="26"/>
      <w:szCs w:val="20"/>
    </w:rPr>
  </w:style>
  <w:style w:type="paragraph" w:styleId="9">
    <w:name w:val="Body Text"/>
    <w:basedOn w:val="1"/>
    <w:next w:val="1"/>
    <w:autoRedefine/>
    <w:qFormat/>
    <w:uiPriority w:val="0"/>
    <w:pPr>
      <w:tabs>
        <w:tab w:val="left" w:pos="567"/>
      </w:tabs>
      <w:spacing w:before="120" w:line="22" w:lineRule="atLeast"/>
    </w:pPr>
    <w:rPr>
      <w:rFonts w:ascii="宋体" w:hAnsi="宋体"/>
      <w:sz w:val="24"/>
      <w:szCs w:val="20"/>
    </w:rPr>
  </w:style>
  <w:style w:type="paragraph" w:styleId="10">
    <w:name w:val="Body Text Indent"/>
    <w:basedOn w:val="1"/>
    <w:next w:val="11"/>
    <w:autoRedefine/>
    <w:qFormat/>
    <w:uiPriority w:val="0"/>
    <w:pPr>
      <w:spacing w:after="120"/>
      <w:ind w:left="420" w:leftChars="200"/>
    </w:pPr>
    <w:rPr>
      <w:kern w:val="0"/>
      <w:sz w:val="20"/>
    </w:rPr>
  </w:style>
  <w:style w:type="paragraph" w:styleId="11">
    <w:name w:val="envelope return"/>
    <w:basedOn w:val="1"/>
    <w:autoRedefine/>
    <w:qFormat/>
    <w:uiPriority w:val="99"/>
    <w:pPr>
      <w:snapToGrid w:val="0"/>
    </w:pPr>
    <w:rPr>
      <w:rFonts w:ascii="Arial" w:hAnsi="Arial" w:cs="Arial"/>
    </w:rPr>
  </w:style>
  <w:style w:type="paragraph" w:styleId="12">
    <w:name w:val="Plain Text"/>
    <w:basedOn w:val="1"/>
    <w:link w:val="38"/>
    <w:autoRedefine/>
    <w:qFormat/>
    <w:uiPriority w:val="99"/>
    <w:rPr>
      <w:rFonts w:ascii="宋体" w:hAnsi="Courier New"/>
      <w:szCs w:val="20"/>
    </w:rPr>
  </w:style>
  <w:style w:type="paragraph" w:styleId="13">
    <w:name w:val="Date"/>
    <w:basedOn w:val="1"/>
    <w:next w:val="1"/>
    <w:autoRedefine/>
    <w:qFormat/>
    <w:uiPriority w:val="0"/>
    <w:rPr>
      <w:rFonts w:ascii="宋体" w:hAnsi="宋体" w:eastAsia="楷体_GB2312"/>
      <w:sz w:val="24"/>
      <w:szCs w:val="20"/>
    </w:rPr>
  </w:style>
  <w:style w:type="paragraph" w:styleId="14">
    <w:name w:val="Balloon Text"/>
    <w:basedOn w:val="1"/>
    <w:link w:val="39"/>
    <w:autoRedefine/>
    <w:qFormat/>
    <w:uiPriority w:val="0"/>
    <w:rPr>
      <w:rFonts w:eastAsia="楷体_GB2312"/>
      <w:sz w:val="18"/>
      <w:szCs w:val="20"/>
    </w:rPr>
  </w:style>
  <w:style w:type="paragraph" w:styleId="15">
    <w:name w:val="footer"/>
    <w:basedOn w:val="1"/>
    <w:autoRedefine/>
    <w:qFormat/>
    <w:uiPriority w:val="0"/>
    <w:pPr>
      <w:tabs>
        <w:tab w:val="center" w:pos="4153"/>
        <w:tab w:val="right" w:pos="8306"/>
      </w:tabs>
      <w:snapToGrid w:val="0"/>
      <w:jc w:val="left"/>
    </w:pPr>
    <w:rPr>
      <w:rFonts w:eastAsia="楷体_GB2312"/>
      <w:sz w:val="18"/>
      <w:szCs w:val="20"/>
    </w:rPr>
  </w:style>
  <w:style w:type="paragraph" w:styleId="16">
    <w:name w:val="header"/>
    <w:basedOn w:val="1"/>
    <w:link w:val="40"/>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tabs>
        <w:tab w:val="left" w:pos="1260"/>
        <w:tab w:val="right" w:leader="dot" w:pos="8296"/>
      </w:tabs>
    </w:pPr>
  </w:style>
  <w:style w:type="paragraph" w:styleId="18">
    <w:name w:val="footnote text"/>
    <w:basedOn w:val="1"/>
    <w:next w:val="7"/>
    <w:autoRedefine/>
    <w:qFormat/>
    <w:uiPriority w:val="0"/>
    <w:pPr>
      <w:snapToGrid w:val="0"/>
      <w:spacing w:before="120" w:line="360" w:lineRule="auto"/>
      <w:ind w:firstLine="425"/>
      <w:jc w:val="left"/>
    </w:pPr>
    <w:rPr>
      <w:kern w:val="0"/>
      <w:sz w:val="18"/>
      <w:szCs w:val="20"/>
    </w:rPr>
  </w:style>
  <w:style w:type="paragraph" w:styleId="19">
    <w:name w:val="toc 9"/>
    <w:basedOn w:val="1"/>
    <w:next w:val="1"/>
    <w:autoRedefine/>
    <w:qFormat/>
    <w:uiPriority w:val="0"/>
    <w:pPr>
      <w:ind w:left="3360" w:leftChars="1600"/>
    </w:pPr>
  </w:style>
  <w:style w:type="paragraph" w:styleId="20">
    <w:name w:val="Normal (Web)"/>
    <w:basedOn w:val="1"/>
    <w:autoRedefine/>
    <w:qFormat/>
    <w:uiPriority w:val="0"/>
    <w:pPr>
      <w:spacing w:before="100" w:beforeAutospacing="1" w:after="100" w:afterAutospacing="1"/>
      <w:jc w:val="left"/>
    </w:pPr>
    <w:rPr>
      <w:kern w:val="0"/>
      <w:sz w:val="24"/>
    </w:rPr>
  </w:style>
  <w:style w:type="paragraph" w:styleId="21">
    <w:name w:val="index 1"/>
    <w:basedOn w:val="1"/>
    <w:next w:val="1"/>
    <w:autoRedefine/>
    <w:semiHidden/>
    <w:qFormat/>
    <w:uiPriority w:val="0"/>
    <w:rPr>
      <w:rFonts w:eastAsia="楷体_GB2312"/>
      <w:sz w:val="26"/>
      <w:szCs w:val="20"/>
    </w:rPr>
  </w:style>
  <w:style w:type="paragraph" w:styleId="22">
    <w:name w:val="annotation subject"/>
    <w:basedOn w:val="8"/>
    <w:next w:val="8"/>
    <w:autoRedefine/>
    <w:semiHidden/>
    <w:qFormat/>
    <w:uiPriority w:val="0"/>
    <w:rPr>
      <w:b/>
      <w:bCs/>
    </w:rPr>
  </w:style>
  <w:style w:type="paragraph" w:styleId="23">
    <w:name w:val="Body Text First Indent"/>
    <w:basedOn w:val="9"/>
    <w:autoRedefine/>
    <w:qFormat/>
    <w:uiPriority w:val="0"/>
    <w:pPr>
      <w:ind w:firstLine="420" w:firstLineChars="100"/>
    </w:pPr>
  </w:style>
  <w:style w:type="paragraph" w:styleId="24">
    <w:name w:val="Body Text First Indent 2"/>
    <w:basedOn w:val="10"/>
    <w:autoRedefine/>
    <w:qFormat/>
    <w:uiPriority w:val="0"/>
    <w:pPr>
      <w:ind w:firstLine="420" w:firstLineChars="200"/>
    </w:pPr>
  </w:style>
  <w:style w:type="table" w:styleId="26">
    <w:name w:val="Table Grid"/>
    <w:basedOn w:val="2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autoRedefine/>
    <w:qFormat/>
    <w:uiPriority w:val="0"/>
    <w:rPr>
      <w:b/>
      <w:bCs/>
    </w:rPr>
  </w:style>
  <w:style w:type="character" w:styleId="29">
    <w:name w:val="page number"/>
    <w:autoRedefine/>
    <w:qFormat/>
    <w:uiPriority w:val="0"/>
  </w:style>
  <w:style w:type="character" w:styleId="30">
    <w:name w:val="FollowedHyperlink"/>
    <w:autoRedefine/>
    <w:qFormat/>
    <w:uiPriority w:val="0"/>
    <w:rPr>
      <w:color w:val="555555"/>
      <w:u w:val="none"/>
    </w:rPr>
  </w:style>
  <w:style w:type="character" w:styleId="31">
    <w:name w:val="Emphasis"/>
    <w:autoRedefine/>
    <w:qFormat/>
    <w:uiPriority w:val="0"/>
    <w:rPr>
      <w:color w:val="F73131"/>
    </w:rPr>
  </w:style>
  <w:style w:type="character" w:styleId="32">
    <w:name w:val="Hyperlink"/>
    <w:autoRedefine/>
    <w:qFormat/>
    <w:uiPriority w:val="0"/>
    <w:rPr>
      <w:color w:val="555555"/>
      <w:u w:val="none"/>
    </w:rPr>
  </w:style>
  <w:style w:type="character" w:styleId="33">
    <w:name w:val="annotation reference"/>
    <w:autoRedefine/>
    <w:qFormat/>
    <w:uiPriority w:val="0"/>
    <w:rPr>
      <w:sz w:val="21"/>
    </w:rPr>
  </w:style>
  <w:style w:type="character" w:styleId="34">
    <w:name w:val="HTML Cite"/>
    <w:autoRedefine/>
    <w:qFormat/>
    <w:uiPriority w:val="0"/>
    <w:rPr>
      <w:color w:val="008000"/>
    </w:rPr>
  </w:style>
  <w:style w:type="character" w:customStyle="1" w:styleId="35">
    <w:name w:val="标题 4 字符"/>
    <w:link w:val="5"/>
    <w:autoRedefine/>
    <w:semiHidden/>
    <w:qFormat/>
    <w:uiPriority w:val="0"/>
    <w:rPr>
      <w:rFonts w:ascii="Cambria" w:hAnsi="Cambria" w:eastAsia="宋体" w:cs="Times New Roman"/>
      <w:b/>
      <w:bCs/>
      <w:kern w:val="2"/>
      <w:sz w:val="28"/>
      <w:szCs w:val="28"/>
    </w:rPr>
  </w:style>
  <w:style w:type="character" w:customStyle="1" w:styleId="36">
    <w:name w:val="正文缩进 字符1"/>
    <w:link w:val="6"/>
    <w:autoRedefine/>
    <w:qFormat/>
    <w:uiPriority w:val="0"/>
    <w:rPr>
      <w:rFonts w:ascii="宋体" w:eastAsia="宋体"/>
      <w:sz w:val="24"/>
      <w:lang w:val="en-US" w:eastAsia="zh-CN" w:bidi="ar-SA"/>
    </w:rPr>
  </w:style>
  <w:style w:type="character" w:customStyle="1" w:styleId="37">
    <w:name w:val="批注文字 字符"/>
    <w:link w:val="8"/>
    <w:autoRedefine/>
    <w:qFormat/>
    <w:uiPriority w:val="0"/>
    <w:rPr>
      <w:rFonts w:eastAsia="楷体_GB2312"/>
      <w:kern w:val="2"/>
      <w:sz w:val="26"/>
    </w:rPr>
  </w:style>
  <w:style w:type="character" w:customStyle="1" w:styleId="38">
    <w:name w:val="纯文本 字符"/>
    <w:link w:val="12"/>
    <w:autoRedefine/>
    <w:qFormat/>
    <w:uiPriority w:val="99"/>
    <w:rPr>
      <w:rFonts w:ascii="宋体" w:hAnsi="Courier New"/>
      <w:kern w:val="2"/>
      <w:sz w:val="21"/>
    </w:rPr>
  </w:style>
  <w:style w:type="character" w:customStyle="1" w:styleId="39">
    <w:name w:val="批注框文本 字符"/>
    <w:link w:val="14"/>
    <w:autoRedefine/>
    <w:qFormat/>
    <w:uiPriority w:val="0"/>
    <w:rPr>
      <w:rFonts w:eastAsia="楷体_GB2312"/>
      <w:kern w:val="2"/>
      <w:sz w:val="18"/>
    </w:rPr>
  </w:style>
  <w:style w:type="character" w:customStyle="1" w:styleId="40">
    <w:name w:val="页眉 字符"/>
    <w:link w:val="16"/>
    <w:autoRedefine/>
    <w:qFormat/>
    <w:uiPriority w:val="0"/>
    <w:rPr>
      <w:kern w:val="2"/>
      <w:sz w:val="18"/>
      <w:szCs w:val="18"/>
    </w:rPr>
  </w:style>
  <w:style w:type="paragraph" w:customStyle="1" w:styleId="41">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2">
    <w:name w:val="hover24"/>
    <w:autoRedefine/>
    <w:qFormat/>
    <w:uiPriority w:val="0"/>
  </w:style>
  <w:style w:type="character" w:customStyle="1" w:styleId="43">
    <w:name w:val="正文缩进 字符"/>
    <w:autoRedefine/>
    <w:qFormat/>
    <w:uiPriority w:val="0"/>
    <w:rPr>
      <w:rFonts w:ascii="Times New Roman" w:hAnsi="Times New Roman" w:eastAsia="宋体" w:cs="Times New Roman"/>
      <w:sz w:val="24"/>
      <w:szCs w:val="21"/>
    </w:rPr>
  </w:style>
  <w:style w:type="character" w:customStyle="1" w:styleId="44">
    <w:name w:val="hover25"/>
    <w:autoRedefine/>
    <w:qFormat/>
    <w:uiPriority w:val="0"/>
    <w:rPr>
      <w:color w:val="315EFB"/>
    </w:rPr>
  </w:style>
  <w:style w:type="character" w:customStyle="1" w:styleId="45">
    <w:name w:val="纯文本 Char1"/>
    <w:autoRedefine/>
    <w:qFormat/>
    <w:uiPriority w:val="0"/>
    <w:rPr>
      <w:rFonts w:ascii="宋体" w:hAnsi="Courier New" w:cs="Courier New"/>
      <w:kern w:val="2"/>
      <w:sz w:val="21"/>
      <w:szCs w:val="21"/>
    </w:rPr>
  </w:style>
  <w:style w:type="character" w:customStyle="1" w:styleId="46">
    <w:name w:val="dr"/>
    <w:autoRedefine/>
    <w:qFormat/>
    <w:uiPriority w:val="0"/>
  </w:style>
  <w:style w:type="character" w:customStyle="1" w:styleId="47">
    <w:name w:val="c-icon28"/>
    <w:autoRedefine/>
    <w:qFormat/>
    <w:uiPriority w:val="0"/>
  </w:style>
  <w:style w:type="character" w:customStyle="1" w:styleId="48">
    <w:name w:val="style21"/>
    <w:autoRedefine/>
    <w:qFormat/>
    <w:uiPriority w:val="0"/>
    <w:rPr>
      <w:color w:val="0000A0"/>
      <w:sz w:val="33"/>
      <w:szCs w:val="33"/>
    </w:rPr>
  </w:style>
  <w:style w:type="paragraph" w:customStyle="1" w:styleId="49">
    <w:name w:val="Char Char Char1 Char Char Char Char Char Char Char Char Char Char"/>
    <w:basedOn w:val="1"/>
    <w:autoRedefine/>
    <w:qFormat/>
    <w:uiPriority w:val="0"/>
    <w:rPr>
      <w:rFonts w:ascii="Tahoma" w:hAnsi="Tahoma"/>
      <w:sz w:val="24"/>
      <w:szCs w:val="20"/>
    </w:rPr>
  </w:style>
  <w:style w:type="paragraph" w:customStyle="1" w:styleId="50">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51">
    <w:name w:val="Char"/>
    <w:basedOn w:val="1"/>
    <w:autoRedefine/>
    <w:qFormat/>
    <w:uiPriority w:val="0"/>
    <w:pPr>
      <w:tabs>
        <w:tab w:val="left" w:pos="360"/>
      </w:tabs>
    </w:pPr>
    <w:rPr>
      <w:sz w:val="24"/>
    </w:rPr>
  </w:style>
  <w:style w:type="paragraph" w:styleId="52">
    <w:name w:val="List Paragraph"/>
    <w:basedOn w:val="1"/>
    <w:autoRedefine/>
    <w:qFormat/>
    <w:uiPriority w:val="34"/>
    <w:pPr>
      <w:ind w:firstLine="420" w:firstLineChars="200"/>
    </w:pPr>
  </w:style>
  <w:style w:type="paragraph" w:customStyle="1" w:styleId="53">
    <w:name w:val="Table Paragraph"/>
    <w:basedOn w:val="1"/>
    <w:autoRedefine/>
    <w:qFormat/>
    <w:uiPriority w:val="1"/>
    <w:rPr>
      <w:rFonts w:ascii="宋体" w:hAnsi="宋体" w:cs="宋体"/>
      <w:lang w:val="zh-CN" w:bidi="zh-CN"/>
    </w:rPr>
  </w:style>
  <w:style w:type="paragraph" w:customStyle="1" w:styleId="5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5">
    <w:name w:val="表格"/>
    <w:basedOn w:val="1"/>
    <w:autoRedefine/>
    <w:qFormat/>
    <w:uiPriority w:val="0"/>
    <w:pPr>
      <w:jc w:val="left"/>
    </w:pPr>
    <w:rPr>
      <w:rFonts w:ascii="宋体" w:hAnsi="宋体" w:cs="宋体"/>
      <w:szCs w:val="21"/>
    </w:rPr>
  </w:style>
  <w:style w:type="paragraph" w:customStyle="1" w:styleId="56">
    <w:name w:val="List Paragraph1"/>
    <w:basedOn w:val="1"/>
    <w:autoRedefine/>
    <w:qFormat/>
    <w:uiPriority w:val="0"/>
    <w:pPr>
      <w:ind w:firstLine="420" w:firstLineChars="200"/>
    </w:pPr>
    <w:rPr>
      <w:rFonts w:ascii="Calibri" w:hAnsi="Calibri"/>
      <w:szCs w:val="21"/>
    </w:rPr>
  </w:style>
  <w:style w:type="paragraph" w:customStyle="1" w:styleId="57">
    <w:name w:val="PlainText"/>
    <w:basedOn w:val="1"/>
    <w:autoRedefine/>
    <w:qFormat/>
    <w:uiPriority w:val="99"/>
    <w:rPr>
      <w:rFonts w:ascii="宋体" w:hAnsi="Courier New"/>
    </w:rPr>
  </w:style>
  <w:style w:type="paragraph" w:styleId="58">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列表段落1"/>
    <w:basedOn w:val="1"/>
    <w:autoRedefine/>
    <w:unhideWhenUsed/>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4739</Words>
  <Characters>27015</Characters>
  <Lines>225</Lines>
  <Paragraphs>63</Paragraphs>
  <TotalTime>2</TotalTime>
  <ScaleCrop>false</ScaleCrop>
  <LinksUpToDate>false</LinksUpToDate>
  <CharactersWithSpaces>31691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2023-12-13T07:39:00Z</dcterms:created>
  <dc:creator>商议</dc:creator>
  <cp:lastModifiedBy>中宇</cp:lastModifiedBy>
  <cp:lastPrinted>2016-03-21T09:01:00Z</cp:lastPrinted>
  <dcterms:modified xsi:type="dcterms:W3CDTF">2024-02-29T02:06:29Z</dcterms:modified>
  <dc:title>世界宝</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E46F645D21144FEB90FBE0F1A10959F4_13</vt:lpwstr>
  </property>
</Properties>
</file>