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spacing w:line="360" w:lineRule="auto"/>
        <w:ind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w:t>
      </w:r>
    </w:p>
    <w:p>
      <w:pPr>
        <w:spacing w:line="360" w:lineRule="auto"/>
        <w:ind w:firstLine="482"/>
        <w:contextualSpacing/>
        <w:rPr>
          <w:rFonts w:hint="eastAsia" w:ascii="仿宋" w:hAnsi="仿宋" w:eastAsia="仿宋" w:cs="仿宋"/>
          <w:b/>
          <w:color w:val="auto"/>
          <w:sz w:val="24"/>
          <w:highlight w:val="none"/>
        </w:rPr>
      </w:pPr>
      <w:r>
        <w:rPr>
          <w:rFonts w:hint="eastAsia" w:ascii="仿宋" w:hAnsi="仿宋" w:eastAsia="仿宋" w:cs="仿宋"/>
          <w:bCs/>
          <w:color w:val="auto"/>
          <w:sz w:val="24"/>
          <w:highlight w:val="none"/>
          <w:lang w:val="en-US" w:eastAsia="zh-CN"/>
        </w:rPr>
        <w:t>本项目为怀普路（新普路-怀德中路）道路改造提升工程质量检测项目，服务内容包括但不仅限于市政检测（备案）：土壤氡检测、沥青、沥青混合料、土工、土工合成材料、水泥土、道桥结构（压实度、道路回弹弯沉等）、排水管材（混凝土管、塑料管等）、道路砖、路缘石、石灰、检查井盖、钢材检测等；见证取样检测等采购人委托的第三方检测、质量监督部门及专业验收。</w:t>
      </w:r>
    </w:p>
    <w:p>
      <w:pPr>
        <w:pStyle w:val="6"/>
        <w:numPr>
          <w:ilvl w:val="0"/>
          <w:numId w:val="1"/>
        </w:numPr>
        <w:spacing w:line="360" w:lineRule="auto"/>
        <w:ind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1.交付（实施）的时间（期限）和地点（范围）</w:t>
      </w:r>
      <w:r>
        <w:rPr>
          <w:rFonts w:hint="eastAsia" w:ascii="仿宋" w:hAnsi="仿宋" w:eastAsia="仿宋" w:cs="仿宋"/>
          <w:b w:val="0"/>
          <w:bCs/>
          <w:color w:val="auto"/>
          <w:kern w:val="2"/>
          <w:sz w:val="24"/>
          <w:szCs w:val="24"/>
          <w:highlight w:val="none"/>
          <w:lang w:eastAsia="zh-CN"/>
        </w:rPr>
        <w:t>按施工合同执行，与施工进度同步。</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2.付款条件（进度和方式）</w:t>
      </w:r>
    </w:p>
    <w:p>
      <w:pPr>
        <w:pStyle w:val="2"/>
        <w:spacing w:line="360" w:lineRule="exact"/>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2.1本项目检测费用结算采用固定费率合同，且本项目结算价不得超25万元，超25万元按25万元计取。</w:t>
      </w:r>
    </w:p>
    <w:p>
      <w:pPr>
        <w:pStyle w:val="2"/>
        <w:spacing w:line="360" w:lineRule="exact"/>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合同价（包含但不限于为实施和完成合同工程所需的劳务、材料、机械、质检、安装、措施费、检测出具报告费、缺陷责任期维护管理、规费、税金、保险、利润等费用以及可能因检测项目和数量的调整及实施项目的变更而引起的价格调整风险）=工程质量检测明细表单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%（成交费率）。</w:t>
      </w:r>
    </w:p>
    <w:p>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工程竣工验收后提供全部检测报告并经</w:t>
      </w:r>
      <w:r>
        <w:rPr>
          <w:rFonts w:hint="eastAsia" w:ascii="仿宋" w:hAnsi="仿宋" w:eastAsia="仿宋" w:cs="仿宋"/>
          <w:color w:val="auto"/>
          <w:kern w:val="0"/>
          <w:sz w:val="24"/>
          <w:szCs w:val="24"/>
          <w:highlight w:val="none"/>
          <w:lang w:val="en-US" w:eastAsia="zh-CN"/>
        </w:rPr>
        <w:t>采购单位审核</w:t>
      </w:r>
      <w:r>
        <w:rPr>
          <w:rFonts w:hint="eastAsia" w:ascii="仿宋" w:hAnsi="仿宋" w:eastAsia="仿宋" w:cs="仿宋"/>
          <w:color w:val="auto"/>
          <w:kern w:val="0"/>
          <w:sz w:val="24"/>
          <w:szCs w:val="24"/>
          <w:highlight w:val="none"/>
        </w:rPr>
        <w:t>后30天内</w:t>
      </w:r>
      <w:r>
        <w:rPr>
          <w:rFonts w:hint="eastAsia" w:ascii="仿宋" w:hAnsi="仿宋" w:eastAsia="仿宋" w:cs="仿宋"/>
          <w:color w:val="auto"/>
          <w:kern w:val="0"/>
          <w:sz w:val="24"/>
          <w:szCs w:val="24"/>
          <w:highlight w:val="none"/>
          <w:lang w:val="en-US" w:eastAsia="zh-CN"/>
        </w:rPr>
        <w:t>一次性</w:t>
      </w:r>
      <w:r>
        <w:rPr>
          <w:rFonts w:hint="eastAsia" w:ascii="仿宋" w:hAnsi="仿宋" w:eastAsia="仿宋" w:cs="仿宋"/>
          <w:color w:val="auto"/>
          <w:kern w:val="0"/>
          <w:sz w:val="24"/>
          <w:szCs w:val="24"/>
          <w:highlight w:val="none"/>
        </w:rPr>
        <w:t>付清（无息）。</w:t>
      </w:r>
    </w:p>
    <w:p>
      <w:pPr>
        <w:numPr>
          <w:ilvl w:val="0"/>
          <w:numId w:val="0"/>
        </w:numPr>
        <w:spacing w:line="360" w:lineRule="auto"/>
        <w:ind w:firstLine="480" w:firstLineChars="200"/>
        <w:contextualSpacing/>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b w:val="0"/>
          <w:bCs w:val="0"/>
          <w:color w:val="auto"/>
          <w:kern w:val="2"/>
          <w:sz w:val="24"/>
          <w:szCs w:val="24"/>
          <w:highlight w:val="none"/>
          <w:lang w:val="en-US" w:eastAsia="zh-CN"/>
        </w:rPr>
        <w:t>明细表</w:t>
      </w:r>
    </w:p>
    <w:tbl>
      <w:tblPr>
        <w:tblStyle w:val="3"/>
        <w:tblpPr w:leftFromText="180" w:rightFromText="180" w:vertAnchor="text" w:horzAnchor="page" w:tblpX="888" w:tblpY="451"/>
        <w:tblOverlap w:val="never"/>
        <w:tblW w:w="5022" w:type="pct"/>
        <w:tblInd w:w="0" w:type="dxa"/>
        <w:tblLayout w:type="fixed"/>
        <w:tblCellMar>
          <w:top w:w="0" w:type="dxa"/>
          <w:left w:w="108" w:type="dxa"/>
          <w:bottom w:w="0" w:type="dxa"/>
          <w:right w:w="108" w:type="dxa"/>
        </w:tblCellMar>
      </w:tblPr>
      <w:tblGrid>
        <w:gridCol w:w="715"/>
        <w:gridCol w:w="1058"/>
        <w:gridCol w:w="1811"/>
        <w:gridCol w:w="1140"/>
        <w:gridCol w:w="728"/>
        <w:gridCol w:w="1221"/>
        <w:gridCol w:w="1039"/>
        <w:gridCol w:w="847"/>
      </w:tblGrid>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一、见证取样类检测项目</w:t>
            </w: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序号</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检测项目</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检测参数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单位</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val="en-US" w:eastAsia="zh-CN"/>
              </w:rPr>
              <w:t>单价</w:t>
            </w:r>
            <w:r>
              <w:rPr>
                <w:rFonts w:hint="eastAsia" w:ascii="仿宋" w:hAnsi="仿宋" w:eastAsia="仿宋" w:cs="仿宋"/>
                <w:b/>
                <w:bCs/>
                <w:color w:val="auto"/>
                <w:kern w:val="0"/>
                <w:sz w:val="21"/>
                <w:szCs w:val="21"/>
                <w:highlight w:val="none"/>
              </w:rPr>
              <w:t>（元）</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说明</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备注</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胶砂强度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胶砂流动度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细度(筛余法)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细度(比表面积)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标准稠度用水量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50/70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试饼法/雷氏法</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烧失量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二氧化硅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三氧化二铁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三氧化二铝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水化热</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熟料中的铝酸三铝含量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不溶物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建筑钢材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屈服强度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55(φ≤25mm) 90(φ=28mm) 180(φ≥32mm)（原材）</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屈服点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冷弯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重量偏差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断面收缩率（厚度方向性能）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最大力下总伸长率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强屈比、超屈比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*反向弯曲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宏观镜像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焊接工艺评定用</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栓钉焊接件拉伸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每组10根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栓钉焊接件弯曲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每组10根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压扁试验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整根钢管的压扁试验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反复弯曲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比例极限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σ0.2</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25mm以上厚钢板、管壁20mm以上高压管及焊接件均增加20%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2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型钢（抗拉）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70（不含制样费）</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钢筋网片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预应力钢丝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拉伸540，弹模460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膨胀螺栓</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扩口</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断口</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常温冲击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1组3根或5根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HB布氏硬度（3点）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HR洛氏硬度（3点）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HV韦氏硬度（3点）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焊接</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抗拉、冷弯（φ≤25mm）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工艺检测相同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抗拉、冷弯（φ=28mm）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工艺检测相同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抗拉、冷弯（φ≥32mm）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工艺检测相同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机械连接</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抗拉（φ≤25mm）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抗拉（φ=28mm）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抗拉（φ≥32mm）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工艺检测（φ≤25mm）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工艺检测（φ≥28mm）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建筑用砂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筛分析（颗粒级配）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堆积密度和紧密密度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含泥量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泥块含量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有机物含量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云母含量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轻物质含量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坚固性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石粉含量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压碎值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硫酸盐、硫化物含量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建筑用碎石或卵石</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筛分析（颗粒级配）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含泥量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泥块含量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针片状颗粒含量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压碎指标值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堆积密度和紧密密度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坚固性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有机质含量</w:t>
            </w:r>
            <w:r>
              <w:rPr>
                <w:rStyle w:val="7"/>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卵石</w:t>
            </w:r>
            <w:r>
              <w:rPr>
                <w:rStyle w:val="7"/>
                <w:rFonts w:hint="eastAsia" w:ascii="仿宋" w:hAnsi="仿宋" w:eastAsia="仿宋" w:cs="仿宋"/>
                <w:color w:val="auto"/>
                <w:sz w:val="21"/>
                <w:szCs w:val="21"/>
                <w:highlight w:val="none"/>
              </w:rPr>
              <w:t>)</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岩石抗压强度试验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 加工费另加60元/件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硫化物和硫酸盐含量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空隙率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灼烧量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盐酸可溶率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混凝土物理力学性能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养护另加收40元/组养护费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轴心抗压强度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静力受压弹性模量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劈裂抗拉强度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抗冻性能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单次循环</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动弹性模量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72"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S6级，每加一级加50元  </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90天</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受压徐变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钢筋锈蚀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抗压疲劳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氯离子含量（拌合物）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375</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氯离子含量（硬化后砼）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氯离子扩散系数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电通量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3500/4000/4500/5000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碳化龄期3d/7d/14d/28d</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碱含量（硬化后砼）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碱含量（粉料）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砼抗裂性能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总碱量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建筑砂浆物理性能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砌体抗剪强度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稠度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分层度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养护费另加30元/组</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抗冻性能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2h稠度损失率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预拌砂浆成型费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稠度（预拌砂浆）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粘结强度（预拌砂浆）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保水率（预拌砂浆）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分层度（预拌砂浆）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抗渗（预拌砂浆）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抗剪强度（预拌砂浆）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收缩率（预拌砂浆）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混凝土配合比设计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配合比设计(抗压)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配合比设计(外加剂)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配合比设计(抗渗)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11"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配合比设计(抗折)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配合比设计(耐热)</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稠度试验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泌水试验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含气量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砼厚度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坍落扩展度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坍落扩展度与J环扩展度之差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离析率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粗骨料振动离析率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扩展时间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透水混凝土透水系数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连续孔隙率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配合比分析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电通量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总碱量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氯离子含量（拌合物）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375</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氯离子含量（硬化后砼）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压力泌水率比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坍落度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混凝土外加剂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减水率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泌水率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含气量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pH值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总碱量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硫酸钠含量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水泥净浆流动度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固体含量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比表面积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氨含量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相对耐久性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快速法，200次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塌落度1h经时变化量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砼界面处理剂全项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防冻剂全项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速凝剂全项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混凝土限制膨胀率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含气量经时变化量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裂缝降低系数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压力泌水率比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气泡间距系数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渗透高度比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扩展度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50次冻融强度损失率比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对钢筋的锈蚀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基础配比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粉煤灰</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比表面积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需水量比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烧失量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不包括三氧化硫修正试验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活性指数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流动度比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游离氧化钙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SiO</w:t>
            </w:r>
            <w:r>
              <w:rPr>
                <w:rStyle w:val="8"/>
                <w:rFonts w:hint="eastAsia" w:ascii="仿宋" w:hAnsi="仿宋" w:eastAsia="仿宋" w:cs="仿宋"/>
                <w:color w:val="auto"/>
                <w:sz w:val="21"/>
                <w:szCs w:val="21"/>
                <w:highlight w:val="none"/>
              </w:rPr>
              <w:t>2</w:t>
            </w:r>
            <w:r>
              <w:rPr>
                <w:rStyle w:val="9"/>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Al</w:t>
            </w:r>
            <w:r>
              <w:rPr>
                <w:rStyle w:val="8"/>
                <w:rFonts w:hint="eastAsia" w:ascii="仿宋" w:hAnsi="仿宋" w:eastAsia="仿宋" w:cs="仿宋"/>
                <w:color w:val="auto"/>
                <w:sz w:val="21"/>
                <w:szCs w:val="21"/>
                <w:highlight w:val="none"/>
              </w:rPr>
              <w:t>2</w:t>
            </w:r>
            <w:r>
              <w:rPr>
                <w:rFonts w:hint="eastAsia" w:ascii="仿宋" w:hAnsi="仿宋" w:eastAsia="仿宋" w:cs="仿宋"/>
                <w:color w:val="auto"/>
                <w:kern w:val="0"/>
                <w:sz w:val="21"/>
                <w:szCs w:val="21"/>
                <w:highlight w:val="none"/>
              </w:rPr>
              <w:t>O</w:t>
            </w:r>
            <w:r>
              <w:rPr>
                <w:rFonts w:hint="eastAsia" w:ascii="仿宋" w:hAnsi="仿宋" w:eastAsia="仿宋" w:cs="仿宋"/>
                <w:color w:val="auto"/>
                <w:kern w:val="0"/>
                <w:sz w:val="21"/>
                <w:szCs w:val="21"/>
                <w:highlight w:val="none"/>
                <w:vertAlign w:val="superscript"/>
              </w:rPr>
              <w:t>3</w:t>
            </w:r>
            <w:r>
              <w:rPr>
                <w:rFonts w:hint="eastAsia" w:ascii="仿宋" w:hAnsi="仿宋" w:eastAsia="仿宋" w:cs="仿宋"/>
                <w:color w:val="auto"/>
                <w:kern w:val="0"/>
                <w:sz w:val="21"/>
                <w:szCs w:val="21"/>
                <w:highlight w:val="none"/>
              </w:rPr>
              <w:t>和Fe</w:t>
            </w:r>
            <w:r>
              <w:rPr>
                <w:rStyle w:val="8"/>
                <w:rFonts w:hint="eastAsia" w:ascii="仿宋" w:hAnsi="仿宋" w:eastAsia="仿宋" w:cs="仿宋"/>
                <w:color w:val="auto"/>
                <w:sz w:val="21"/>
                <w:szCs w:val="21"/>
                <w:highlight w:val="none"/>
              </w:rPr>
              <w:t>2</w:t>
            </w:r>
            <w:r>
              <w:rPr>
                <w:rFonts w:hint="eastAsia" w:ascii="仿宋" w:hAnsi="仿宋" w:eastAsia="仿宋" w:cs="仿宋"/>
                <w:color w:val="auto"/>
                <w:kern w:val="0"/>
                <w:sz w:val="21"/>
                <w:szCs w:val="21"/>
                <w:highlight w:val="none"/>
              </w:rPr>
              <w:t>O</w:t>
            </w:r>
            <w:r>
              <w:rPr>
                <w:rFonts w:hint="eastAsia" w:ascii="仿宋" w:hAnsi="仿宋" w:eastAsia="仿宋" w:cs="仿宋"/>
                <w:color w:val="auto"/>
                <w:kern w:val="0"/>
                <w:sz w:val="21"/>
                <w:szCs w:val="21"/>
                <w:highlight w:val="none"/>
                <w:vertAlign w:val="superscript"/>
              </w:rPr>
              <w:t>3</w:t>
            </w:r>
            <w:r>
              <w:rPr>
                <w:rFonts w:hint="eastAsia" w:ascii="仿宋" w:hAnsi="仿宋" w:eastAsia="仿宋" w:cs="仿宋"/>
                <w:color w:val="auto"/>
                <w:kern w:val="0"/>
                <w:sz w:val="21"/>
                <w:szCs w:val="21"/>
                <w:highlight w:val="none"/>
              </w:rPr>
              <w:t>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半水亚硫酸钙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矿粉</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密度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比表面积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活性指数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流动度比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细度（筛分法）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烧失量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不溶物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混凝土膨胀剂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总碱量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限制膨胀率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基础配比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混凝土泵送剂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坍落度增加值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1h经时变化量</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减水率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常压泌水率比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含气量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坍落度保留值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1h经时变化量</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3d/7d/28d</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对钢筋的锈蚀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基础配比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混凝土防水剂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净浆安定性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泌水率比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3d/7d/28d</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渗透高度比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48h吸水量比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28d收缩率比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基础配比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砂浆防水剂(防水母液）</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净浆安定性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7d/28d</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透水压力比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48h吸水量比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28d收缩率比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基础配比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预应力钢材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规定非比例延伸强度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280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1组有3根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最大总伸长率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规定非比例延伸力σ0.2</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每米质量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油脂用量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护套高度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护套厚度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护套拉伸屈服应力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P锚（锚固系数）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应力松驰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锚夹具</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锚环硬度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25元/个</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夹片硬度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36元/付</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锚板强度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静载试验（锚具夹具和边接器静载锚固试验）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≤5孔</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6～12孔</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13～19孔</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20孔以上</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弗式锚具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束</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轧丝锚具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束</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预应力混凝土用金属螺纹管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钢带厚度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几何尺寸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集中荷载下径向刚度+抗渗漏性能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均布荷载下径向刚度+抗渗漏性能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静液压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预应力混凝土用金属螺纹管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局部横向荷载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柔韧性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二、地基基础工程</w:t>
            </w:r>
          </w:p>
        </w:tc>
      </w:tr>
      <w:tr>
        <w:tblPrEx>
          <w:tblCellMar>
            <w:top w:w="0" w:type="dxa"/>
            <w:left w:w="108" w:type="dxa"/>
            <w:bottom w:w="0" w:type="dxa"/>
            <w:right w:w="108" w:type="dxa"/>
          </w:tblCellMar>
        </w:tblPrEx>
        <w:trPr>
          <w:trHeight w:val="529"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单桩极限承载力</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小吨位/根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7000（含运费）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荷重≤100t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100t＜荷重≤300t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300t＜荷重≤1000t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1000t＜荷重≤1500t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1500t＜荷重≤2000t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≮50（不含运费、进退场）</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荷重≥2000t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5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2240" w:type="pct"/>
            <w:gridSpan w:val="4"/>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 吨位按试验荷重计，试验荷重按设计有关参数确定；2． 荷载运输费按运距10km计，市区内不作调整；3． 桩头处理、试坑开挖、疏干排水另计。</w:t>
            </w: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高应变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R</w:t>
            </w:r>
            <w:r>
              <w:rPr>
                <w:rStyle w:val="10"/>
                <w:rFonts w:hint="eastAsia" w:ascii="仿宋" w:hAnsi="仿宋" w:eastAsia="仿宋" w:cs="仿宋"/>
                <w:color w:val="auto"/>
                <w:sz w:val="21"/>
                <w:szCs w:val="21"/>
                <w:highlight w:val="none"/>
              </w:rPr>
              <w:t>U</w:t>
            </w:r>
            <w:r>
              <w:rPr>
                <w:rStyle w:val="9"/>
                <w:rFonts w:hint="eastAsia" w:ascii="仿宋" w:hAnsi="仿宋" w:eastAsia="仿宋" w:cs="仿宋"/>
                <w:color w:val="auto"/>
                <w:sz w:val="21"/>
                <w:szCs w:val="21"/>
                <w:highlight w:val="none"/>
              </w:rPr>
              <w:t>≤</w:t>
            </w:r>
            <w:r>
              <w:rPr>
                <w:rStyle w:val="7"/>
                <w:rFonts w:hint="eastAsia" w:ascii="仿宋" w:hAnsi="仿宋" w:eastAsia="仿宋" w:cs="仿宋"/>
                <w:color w:val="auto"/>
                <w:sz w:val="21"/>
                <w:szCs w:val="21"/>
                <w:highlight w:val="none"/>
              </w:rPr>
              <w:t>1000kN</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1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1000kN＜</w:t>
            </w:r>
            <w:r>
              <w:rPr>
                <w:rStyle w:val="7"/>
                <w:rFonts w:hint="eastAsia" w:ascii="仿宋" w:hAnsi="仿宋" w:eastAsia="仿宋" w:cs="仿宋"/>
                <w:color w:val="auto"/>
                <w:sz w:val="21"/>
                <w:szCs w:val="21"/>
                <w:highlight w:val="none"/>
              </w:rPr>
              <w:t>R</w:t>
            </w:r>
            <w:r>
              <w:rPr>
                <w:rStyle w:val="10"/>
                <w:rFonts w:hint="eastAsia" w:ascii="仿宋" w:hAnsi="仿宋" w:eastAsia="仿宋" w:cs="仿宋"/>
                <w:color w:val="auto"/>
                <w:sz w:val="21"/>
                <w:szCs w:val="21"/>
                <w:highlight w:val="none"/>
              </w:rPr>
              <w:t>U</w:t>
            </w:r>
            <w:r>
              <w:rPr>
                <w:rStyle w:val="9"/>
                <w:rFonts w:hint="eastAsia" w:ascii="仿宋" w:hAnsi="仿宋" w:eastAsia="仿宋" w:cs="仿宋"/>
                <w:color w:val="auto"/>
                <w:sz w:val="21"/>
                <w:szCs w:val="21"/>
                <w:highlight w:val="none"/>
              </w:rPr>
              <w:t>≤</w:t>
            </w:r>
            <w:r>
              <w:rPr>
                <w:rStyle w:val="7"/>
                <w:rFonts w:hint="eastAsia" w:ascii="仿宋" w:hAnsi="仿宋" w:eastAsia="仿宋" w:cs="仿宋"/>
                <w:color w:val="auto"/>
                <w:sz w:val="21"/>
                <w:szCs w:val="21"/>
                <w:highlight w:val="none"/>
              </w:rPr>
              <w:t>3000kN</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3000kN＜</w:t>
            </w:r>
            <w:r>
              <w:rPr>
                <w:rStyle w:val="7"/>
                <w:rFonts w:hint="eastAsia" w:ascii="仿宋" w:hAnsi="仿宋" w:eastAsia="仿宋" w:cs="仿宋"/>
                <w:color w:val="auto"/>
                <w:sz w:val="21"/>
                <w:szCs w:val="21"/>
                <w:highlight w:val="none"/>
              </w:rPr>
              <w:t>R</w:t>
            </w:r>
            <w:r>
              <w:rPr>
                <w:rStyle w:val="10"/>
                <w:rFonts w:hint="eastAsia" w:ascii="仿宋" w:hAnsi="仿宋" w:eastAsia="仿宋" w:cs="仿宋"/>
                <w:color w:val="auto"/>
                <w:sz w:val="21"/>
                <w:szCs w:val="21"/>
                <w:highlight w:val="none"/>
              </w:rPr>
              <w:t>U</w:t>
            </w:r>
            <w:r>
              <w:rPr>
                <w:rStyle w:val="9"/>
                <w:rFonts w:hint="eastAsia" w:ascii="仿宋" w:hAnsi="仿宋" w:eastAsia="仿宋" w:cs="仿宋"/>
                <w:color w:val="auto"/>
                <w:sz w:val="21"/>
                <w:szCs w:val="21"/>
                <w:highlight w:val="none"/>
              </w:rPr>
              <w:t>≤</w:t>
            </w:r>
            <w:r>
              <w:rPr>
                <w:rStyle w:val="7"/>
                <w:rFonts w:hint="eastAsia" w:ascii="仿宋" w:hAnsi="仿宋" w:eastAsia="仿宋" w:cs="仿宋"/>
                <w:color w:val="auto"/>
                <w:sz w:val="21"/>
                <w:szCs w:val="21"/>
                <w:highlight w:val="none"/>
              </w:rPr>
              <w:t>8000kN</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8000kN＜</w:t>
            </w:r>
            <w:r>
              <w:rPr>
                <w:rStyle w:val="7"/>
                <w:rFonts w:hint="eastAsia" w:ascii="仿宋" w:hAnsi="仿宋" w:eastAsia="仿宋" w:cs="仿宋"/>
                <w:color w:val="auto"/>
                <w:sz w:val="21"/>
                <w:szCs w:val="21"/>
                <w:highlight w:val="none"/>
              </w:rPr>
              <w:t>R</w:t>
            </w:r>
            <w:r>
              <w:rPr>
                <w:rStyle w:val="10"/>
                <w:rFonts w:hint="eastAsia" w:ascii="仿宋" w:hAnsi="仿宋" w:eastAsia="仿宋" w:cs="仿宋"/>
                <w:color w:val="auto"/>
                <w:sz w:val="21"/>
                <w:szCs w:val="21"/>
                <w:highlight w:val="none"/>
              </w:rPr>
              <w:t>U</w:t>
            </w:r>
            <w:r>
              <w:rPr>
                <w:rStyle w:val="9"/>
                <w:rFonts w:hint="eastAsia" w:ascii="仿宋" w:hAnsi="仿宋" w:eastAsia="仿宋" w:cs="仿宋"/>
                <w:color w:val="auto"/>
                <w:sz w:val="21"/>
                <w:szCs w:val="21"/>
                <w:highlight w:val="none"/>
              </w:rPr>
              <w:t>≤</w:t>
            </w:r>
            <w:r>
              <w:rPr>
                <w:rStyle w:val="7"/>
                <w:rFonts w:hint="eastAsia" w:ascii="仿宋" w:hAnsi="仿宋" w:eastAsia="仿宋" w:cs="仿宋"/>
                <w:color w:val="auto"/>
                <w:sz w:val="21"/>
                <w:szCs w:val="21"/>
                <w:highlight w:val="none"/>
              </w:rPr>
              <w:t>20000kN</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另议</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RU＞20000 kN</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2240" w:type="pct"/>
            <w:gridSpan w:val="4"/>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 吨位按设计极限承载力计；2、 锤击设备进退场费用另计；3、 桩头处理、试坑开挖、疏干排水另计。</w:t>
            </w:r>
          </w:p>
        </w:tc>
      </w:tr>
      <w:tr>
        <w:tblPrEx>
          <w:tblCellMar>
            <w:top w:w="0" w:type="dxa"/>
            <w:left w:w="108" w:type="dxa"/>
            <w:bottom w:w="0" w:type="dxa"/>
            <w:right w:w="108" w:type="dxa"/>
          </w:tblCellMar>
        </w:tblPrEx>
        <w:trPr>
          <w:trHeight w:val="529"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桩身完整性</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反射波法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数量≤</w:t>
            </w:r>
            <w:r>
              <w:rPr>
                <w:rStyle w:val="7"/>
                <w:rFonts w:hint="eastAsia" w:ascii="仿宋" w:hAnsi="仿宋" w:eastAsia="仿宋" w:cs="仿宋"/>
                <w:color w:val="auto"/>
                <w:sz w:val="21"/>
                <w:szCs w:val="21"/>
                <w:highlight w:val="none"/>
              </w:rPr>
              <w:t>10</w:t>
            </w:r>
            <w:r>
              <w:rPr>
                <w:rStyle w:val="9"/>
                <w:rFonts w:hint="eastAsia" w:ascii="仿宋" w:hAnsi="仿宋" w:eastAsia="仿宋" w:cs="仿宋"/>
                <w:color w:val="auto"/>
                <w:sz w:val="21"/>
                <w:szCs w:val="21"/>
                <w:highlight w:val="none"/>
              </w:rPr>
              <w:t>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170-180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数量≤</w:t>
            </w:r>
            <w:r>
              <w:rPr>
                <w:rStyle w:val="7"/>
                <w:rFonts w:hint="eastAsia" w:ascii="仿宋" w:hAnsi="仿宋" w:eastAsia="仿宋" w:cs="仿宋"/>
                <w:color w:val="auto"/>
                <w:sz w:val="21"/>
                <w:szCs w:val="21"/>
                <w:highlight w:val="none"/>
              </w:rPr>
              <w:t>100</w:t>
            </w:r>
            <w:r>
              <w:rPr>
                <w:rStyle w:val="9"/>
                <w:rFonts w:hint="eastAsia" w:ascii="仿宋" w:hAnsi="仿宋" w:eastAsia="仿宋" w:cs="仿宋"/>
                <w:color w:val="auto"/>
                <w:sz w:val="21"/>
                <w:szCs w:val="21"/>
                <w:highlight w:val="none"/>
              </w:rPr>
              <w:t>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数量＞</w:t>
            </w:r>
            <w:r>
              <w:rPr>
                <w:rStyle w:val="7"/>
                <w:rFonts w:hint="eastAsia" w:ascii="仿宋" w:hAnsi="仿宋" w:eastAsia="仿宋" w:cs="仿宋"/>
                <w:color w:val="auto"/>
                <w:sz w:val="21"/>
                <w:szCs w:val="21"/>
                <w:highlight w:val="none"/>
              </w:rPr>
              <w:t>100</w:t>
            </w:r>
            <w:r>
              <w:rPr>
                <w:rStyle w:val="9"/>
                <w:rFonts w:hint="eastAsia" w:ascii="仿宋" w:hAnsi="仿宋" w:eastAsia="仿宋" w:cs="仿宋"/>
                <w:color w:val="auto"/>
                <w:sz w:val="21"/>
                <w:szCs w:val="21"/>
                <w:highlight w:val="none"/>
              </w:rPr>
              <w:t>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2240" w:type="pct"/>
            <w:gridSpan w:val="4"/>
            <w:tcBorders>
              <w:top w:val="single" w:color="000000" w:sz="4" w:space="0"/>
              <w:left w:val="single" w:color="000000" w:sz="4" w:space="0"/>
              <w:bottom w:val="single" w:color="000000" w:sz="4" w:space="0"/>
              <w:right w:val="single" w:color="000000" w:sz="4" w:space="0"/>
            </w:tcBorders>
            <w:noWrap/>
            <w:vAlign w:val="top"/>
          </w:tcPr>
          <w:p>
            <w:pPr>
              <w:widowControl/>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  桩径大于600mm或桩长大于25m，同档费用增加20%；2、桩头处理、试坑开挖、疏干排水另计。</w:t>
            </w:r>
          </w:p>
        </w:tc>
      </w:tr>
      <w:tr>
        <w:tblPrEx>
          <w:tblCellMar>
            <w:top w:w="0" w:type="dxa"/>
            <w:left w:w="108" w:type="dxa"/>
            <w:bottom w:w="0" w:type="dxa"/>
            <w:right w:w="108" w:type="dxa"/>
          </w:tblCellMar>
        </w:tblPrEx>
        <w:trPr>
          <w:trHeight w:val="157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声波透射法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1、仪器埋设费、测试材料费另计；2、桩头处理、试坑开挖、疏干排水另计。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w:t>
            </w:r>
          </w:p>
        </w:tc>
        <w:tc>
          <w:tcPr>
            <w:tcW w:w="234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动力触探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w:t>
            </w:r>
          </w:p>
        </w:tc>
        <w:tc>
          <w:tcPr>
            <w:tcW w:w="234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复合地基承载力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w:t>
            </w:r>
          </w:p>
        </w:tc>
        <w:tc>
          <w:tcPr>
            <w:tcW w:w="234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锚杆、土钉极限承载力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桩基取芯</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水泥土取芯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210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8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10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15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砼取芯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2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5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Style w:val="7"/>
                <w:rFonts w:hint="eastAsia" w:ascii="仿宋" w:hAnsi="仿宋" w:eastAsia="仿宋" w:cs="仿宋"/>
                <w:color w:val="auto"/>
                <w:sz w:val="21"/>
                <w:szCs w:val="21"/>
                <w:highlight w:val="none"/>
              </w:rPr>
              <w:t>20 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83"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钻孔桩成孔检测</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孔径                                  孔斜                             沉渣</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深度≤30m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08"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30m＜深度≤40m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28"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40m＜深度≤50m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50m＜深度≤60m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深度＞60m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三、主体结构现场</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结构构件</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132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预制板1500元/块, 大型预制构件按荷载200/t计费. 楼面静载试验8000元/块, 预应力管桩抗弯4000元/根, 破损8000元/根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抗弯性能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132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挠度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132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抗裂检验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132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38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裂缝宽度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132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钢筋位置、钢筋保护层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板厚</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裂缝宽度、深度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砌体构件变形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混凝土构件变形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钢结构变形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缺陷（不密实区、空洞、裂缝）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m2</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m2</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构件尺寸、尺寸偏差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混凝土碳化深度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砖抗压强度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5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预应力混凝土构件预应力-有效应力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起步价10000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预应力混凝土摩擦系数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起步价10000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47"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预应力混凝土孔道摩阻损失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起步价10000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651"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预应力混凝土锚口摩阻损失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起步价10000，试件由委托方准备</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混凝土测强、测缺</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回弹法测强度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测区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回弹综合法测强度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测区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钻芯法测强度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超声法测缺陷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m2</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3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外观质量与尺寸偏差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砌体强度检测</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砌体切割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原位轴压法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筒压法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回弹法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射钉法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点荷法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片剪切法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推出法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原位单砖双剪法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扁顶法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原位单剪法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贯入法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测区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后置埋件力学性能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抗拨力(螺栓、植筋）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一组5根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3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抗拔力（饰面砖、石材、碳纤维布）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一组3块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8"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建筑变形</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沉降观测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每布一点另加70元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位移观测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每布一点另加70元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建筑地面工程</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基层表面平整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间</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面层允许偏差项目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间</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地坪不发火性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屋面工程</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卷材防水屋面工程找平层厚度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找平层排水坡度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找平层转角处圆弧半径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防水卷材厚度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搭接宽度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平瓦屋面、油毡瓦屋面和压型板屋面的有关尺寸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架空隔热制品距山墙或女儿墙、相邻两块制品高低差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五、钢结构工程</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钢结构检测</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钢板超声波探伤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焊缝着色探伤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焊缝磁粉探伤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管桩每条缝500元；起步1000元/次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角焊缝磁粉探伤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射线探伤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张</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363"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焊缝无损检测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45-100元/米</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管桩每条缝500元；对接焊缝200/条；起步1000元/次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安装工程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垂直度500元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涂装工程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紧固件连接</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钢结构用高强度螺栓、球节点（螺母、垫片）</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高强螺栓抗拉（φ≤22mm）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高强螺栓抗拉（22mm＜φ≤36mm）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高强螺栓抗拉（36mm＜φ≤45mm）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高强螺栓抗拉（φ＞45mm）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32"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网架杆件抗拉（φ≤22mm）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150/根，3根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网架杆件抗拉（22mm＜φ≤36mm）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200/根，3根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网架杆件抗拉（36mm＜φ≤45mm）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400/根，3根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网架杆件抗拉（φ＞45mm）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500/根，3根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终拧扭矩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紧固轴力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扭矩系数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132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抗滑移系数（含扭矩实验）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抗滑移系数（不含扭矩实验）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锲负载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螺母保证荷载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硬度（3点）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节点承载力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20/根，8根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六、建筑节能工程</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抗裂砂浆、界面砂浆、抹面砂浆、胶黏剂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b/>
                <w:bCs/>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拉伸粘结强度（原强度）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拉伸粘结强度（耐水）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拉伸粘结强度（耐冻融）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拉伸粘结强度（热老化）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可用时间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要做拉伸粘结强度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压折比/柔韧性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滑移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胶粉聚苯颗粒保温浆料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干表观密度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300*300*30mm，3个</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300*300*30mm，2个</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100*100*100，5个</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100*100*100，10个</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2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压剪粘结强度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需要专门购买试验用瓷砖，每项试验消耗10块，1.5mm金属丝厚层100mm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线收缩率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参考板材抗拉</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1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拉伸粘结强度（与水泥砂浆标准状态）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参考胶黏剂拉伸粘结强度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拉伸粘结强度（与水泥砂浆浸水处理）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参考胶黏剂拉伸粘结强度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拉伸粘结强度（与聚苯板标准状态）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参考胶黏剂拉伸粘结强度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拉伸粘结强度（与聚苯板浸水处理）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参考胶黏剂拉伸粘结强度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6200/11000/9000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A1级/A2级/B级及以下</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耐碱网格布</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网孔中心距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单位面积质量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耐碱强力保留率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配置水泥浆液、标准法</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断裂应变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经纬密度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可燃物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保温板材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吸水率/憎水率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水蒸气透湿系数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湿涨率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68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6000/7000               /1000/2000（原5800/6100               /800/1800）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BCD（单体、可燃）/  BCD（单体、可燃、氧指数） / E（可燃）/     E（可燃、氧指数）</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聚氨脂系列</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水蒸气透湿系数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68"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6000/7000               /1000/2000（原5800/6100               /800/1800）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BCD（单体、可燃）/  BCD（单体、可燃、氧指数） / E（可燃）/     E（可燃、氧指数）</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岩棉</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尺寸允许偏差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垂直于板面方向的抗拉强度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2800/6000/6800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A1级/A2（不燃、单体)\B/A2(热值、单体）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B级有氧指数另加1000元</w:t>
            </w: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质量吸湿率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纤维平均直径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渣球含量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酸度系数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玻璃棉</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2800/6000/6800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A1级/A2（不燃、单体)\B/A2(热值、单体）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橡塑棉/管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真空吸水率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18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7000/1000（原5800/800）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BCD（单体、可燃）/  BCD（单体、可燃、氧指数） / E（可燃）/     E（可燃、氧指数）</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压缩回弹性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抗老化性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w:t>
            </w:r>
          </w:p>
        </w:tc>
        <w:tc>
          <w:tcPr>
            <w:tcW w:w="6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复合发泡水泥板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干密度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尺寸允许偏差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干燥收缩值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复合材料保温板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干密度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参考板材</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2800/6000/6800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A1级/A2（不燃、单体)\B/A2(热值、单体）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尺寸允许偏差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干燥收缩值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湿阻因子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压缩永久变形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热镀锌电焊钢丝网</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网孔尺寸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丝径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焊点抗拉力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锚栓</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单个锚栓对系统传热增加值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单个锚栓抗拉承载力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锚栓圆盘抗拔力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钻头磨损对锚栓抗拉承载力标准值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环境温度对锚栓承载力标准值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锚栓耐松弛性能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保温装饰板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表观密度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导热系数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燃烧性能级别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6000/7000               /1000/2000（原5800/6100               /800/1800）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BCD（单体、可燃）/  BCD（单体、可燃、氧指数） / E（可燃）/     E（可燃、氧指数）</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湿涨率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纤维平均直径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不透水性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单位面积质量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锚固件单元承载力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抗弯强度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表面涂层耐酸性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表面涂层耐碱性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表面涂层耐老化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表面涂层附着力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建筑保温系统检测室内</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耐侯性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抗风压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外窗保温性能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不透水性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耐冻融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水蒸气湿流密度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建筑保温系统检测现场</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现场热工及构件热工性能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现场气密性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现场水密性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外墙面砖粘结强度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3个为一组</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加强网搭接长度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板材粘结砂浆的面积比例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建议800/点，一组3个点（GB50411）</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3个为一组</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保温钉数量、位置、施工质量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保温层构造</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3个点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55</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围护结构热工缺陷</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红外热像测缺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元/平方米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按建筑面积计，且每单体工程不低于20000元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56</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太阳能热水器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风机排管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供热</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供冷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风量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燥声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功率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配电与照明系统</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照度、功率密度、三相不平衡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平方米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2元/平方米</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按建筑面积计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电源质量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变配</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按变配数计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八、环境工程</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民用建筑室内空气</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TVOC</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苯浓度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氨浓度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甲醛浓度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氡浓度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72</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土壤有害物质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氡浓度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人造板中的有害物质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甲醛（18584）</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胶粘剂有害物质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游离甲醛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二甲苯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TDI</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VOCs</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二氯甲烷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w:t>
            </w:r>
            <w:r>
              <w:rPr>
                <w:rStyle w:val="11"/>
                <w:rFonts w:hint="eastAsia" w:ascii="仿宋" w:hAnsi="仿宋" w:eastAsia="仿宋" w:cs="仿宋"/>
                <w:color w:val="auto"/>
                <w:sz w:val="21"/>
                <w:szCs w:val="21"/>
                <w:highlight w:val="none"/>
              </w:rPr>
              <w:t>二氯乙烷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1,1,2-</w:t>
            </w:r>
            <w:r>
              <w:rPr>
                <w:rStyle w:val="11"/>
                <w:rFonts w:hint="eastAsia" w:ascii="仿宋" w:hAnsi="仿宋" w:eastAsia="仿宋" w:cs="仿宋"/>
                <w:color w:val="auto"/>
                <w:sz w:val="21"/>
                <w:szCs w:val="21"/>
                <w:highlight w:val="none"/>
              </w:rPr>
              <w:t>三氯乙烷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三氯乙烯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涂料中的有害物质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游离甲醛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甲苯、乙苯、二甲苯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苯系物总和（苯、甲苯、乙苯、二甲苯）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VOCs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TDI+HDI</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TDI</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卤代烃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六价铬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苯酚</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氨</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装饰材料有害物质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放射性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木家具中甲醛释放量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壁纸中甲醛释放量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地毯中甲醛释放量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溶剂型木器涂料中挥发性有机化合物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溶剂型木器涂料中苯含量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溶剂型木器涂料中甲苯和二甲苯含量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溶剂型木器涂料中游离甲苯二异氰酸酯含量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77</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混凝土外加剂中释放氨的含量</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释放氨的含量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壁纸</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地毯</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TVOC</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纺织品</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9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pH</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聚氯乙烯卷材地板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挥发物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氯乙烯单体</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82</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皮革</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pH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现浇型和预制型面层成品（国标）</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6种邻苯二甲酸酯类化合物总和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18种多环芳烃总和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苯并[a]芘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短链氯化石蜡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MOCA</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游离甲苯二异氰酸酯（TDI）和游离六亚甲基二异氰酸酯（HDI）总和+MDI</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释放量【总挥发性有机化合物（TVOC）】</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释放量【游离甲醛】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释放量【苯+甲苯+乙苯+二甲苯】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释放量【二硫化碳】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气味等级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人造草面层成品（国标）</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6种邻苯二甲酸酯类化合物总和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18种多环芳烃总和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苯并[a]芘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释放量【总挥发性有机化合物（TVOC）】</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释放量【游离甲醛】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释放量【苯+甲苯+乙苯+二甲苯】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固体原料（国标）</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18种多环芳烃总和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苯并[a]芘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38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气味等级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非固体原料（国标）</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6种邻苯二甲酸酯类化合物总和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短链氯化石蜡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TDI、HDI总和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挥发性有机化合物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游离甲醛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甲苯、乙苯、二甲苯总和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可溶性镉</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可溶性铬</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可溶性汞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面层物理性能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冲击吸收/垂直变形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抗滑移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拉伸/断裂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阻燃性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老化后拉伸/断裂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5000（500h）</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无机填料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高聚物总量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人造草坪物理性能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冲击吸收/垂直变形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草丝拉断力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单簇草丝拔出力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无机填料（草坪颗粒）</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89</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建筑材料放射性</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放射性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九、市政工程</w:t>
            </w: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沥青、油膏   </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软化点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180∕240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针入度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280∕330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延度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溶解度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300∕400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薄膜加热试验（质量变化）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闪点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220∕450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燃点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脆点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240∕390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蒸发损失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粘附性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施工度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耐热性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下垂度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低温柔性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粘结力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蜡含量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破乳速度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乳化沥青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粒子电荷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乳化沥青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筛上残余物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乳化沥青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动力黏度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运动黏度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1720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针入度指数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改性沥青弹性恢复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改性沥青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储存稳定性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乳化沥青</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制样（击实法）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制样（轮碾法）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制样（静压法）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制样（旋转压实）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780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沥青混合料试件密度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不含制件费，制作费按50元/个试件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沥青混合料马歇尔稳定度试验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沥青混合料劈裂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不含制件费，制作费按50元/个试件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沥青混合料弯曲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不含制件费，制作费按50元/个试件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沥青混合料饱水率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沥青混合料收缩系数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沥青混合料矿料级配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沥青混合料抽提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真空法理论最大密度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浸水残留稳定度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沥青混合料析漏损失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沥青混合料飞散损失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沥青混合料渗水试验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真空理论最大密度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4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沥青混合料配合比设计（普通/改性）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000∕</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不含原材料检测和混合料性能试验费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沥青混合料车辙试验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2380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含制件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旋转压实试验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沥青混合料配合比验证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不包括原材料检测</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冻融劈裂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沥青路面芯样马歇尔试验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稀浆混合料湿轮磨耗值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土工</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天然含水量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界限含水量(液塑限）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液塑限联合测定</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密度(环刀法压实度)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包括含水量测定</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密度(灌砂、水法压实度)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比重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击实试验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轻型850/重型1000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颗粒分析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筛分法/比重计法</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贯入度（钢筋贯入法）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贯入度（轻便触探仪Ｎ１０）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承载比值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不含击实</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ＥＤＴＡ标准曲线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细集料/粗集料</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水泥石灰剂量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150∕250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细粒土/粗粒土</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静力触探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有机质含量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ＥＤＴＡ衰减曲线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5倍标准曲线的工作量</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粗、巨粒土最大干密度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砂的相对密度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易容盐含量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混合料级配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室外回弹模量（承载板法）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土工合成材料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单位面积质量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渗透系数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当量孔径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顶破力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有效孔径（等效孔径）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拉伸强度(纵向、横向）</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落锥穿透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抗氧化性能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抗酸碱液性能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抗紫外线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幅宽偏差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撕破强力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网格尺寸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水泥土</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配合比（一种掺量）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芯样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0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道桥结构</w:t>
            </w: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弯沉</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弯沉（贝克曼梁）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现场抽样，测点80时,按10元或（35元）/点，另加汽车800元(半天)或者1000(一天)</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弯沉（落锤仪）</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路面基层压实度</w:t>
            </w:r>
          </w:p>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（灌砂法）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路基压实度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环刀/灌砂</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28"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基层厚度</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钻芯一层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厚度、芯样完整性</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钻芯二层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厚度、芯样完整性</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钻芯三层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厚度、芯样完整性</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三氧化硫含量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沥青面层、压实度</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钻芯一层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厚度、压实度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钻芯二层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厚度、压实度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钻芯三层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厚度、压实度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水泥混凝土路面厚度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摩擦系数（摆式仪）</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摩擦系数（自动仪）</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车道.km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构造深度（铺砂法）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构造深度（激光深度仪）</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车道.km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平整度（3米直尺）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平整度（激光仪）</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车道.km</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渗水系数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路基CBR/回弹模量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超声法</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桥梁承载力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座</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桥梁伸缩缝</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橡胶止水带试验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外观尺寸与橡胶物理性能</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细材(钢筋、异型钢等试验)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板式橡胶支座</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抗压弹性模量、抗剪弹性模量、                         摩擦系数、极限抗压强度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竖向荷载≤200t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200t＜竖向荷载≤500t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500t＜竖向荷载≤1000t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盆式橡胶支座</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竖向压缩变形、盆环径向变形、                       支座承载力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竖向荷载≤500t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500t＜竖向荷载≤1000t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1000t＜竖向荷载≤1500t</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99</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大吨位盆式橡胶支座</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面议</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混凝土管水压试验</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外压荷载（直径≤1.2m）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外压荷载（1.2≤直径≤1.5m）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外压荷载（直径＞1.5m）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内压荷载（直径≤1.2m）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内压荷载（1.2≤直径≤1.5m）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内压荷载（直径＞1.5m）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玻璃钢夹砂管</w:t>
            </w: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环刚度</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DN≤500mm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500＜DN≤1200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1200＜DN≤2000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环柔性</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DN≤500mm</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500＜DN≤1200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1200＜DN≤2000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铸铁管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内水压试验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外压破坏荷载试验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布氏硬度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3根/组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检查井盖</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承载能力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每组两套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残留变形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建筑石灰/道路用石灰</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体积安定性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未消化残渣含量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氧化钙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有效钙镁含量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细度（0.71mm方孔筛余）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道路砖、路缘石</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不含加工费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耐磨</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25次循环</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岩石</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不含样品制备费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38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抗冻性试验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每单次循环</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不含试样切割费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单轴抗压强度试验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不含加工费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抗折强度试验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不含制件费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市政用粗集料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含泥量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泥块含量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压碎值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针片状</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水泥砼/沥青砼</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视密度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软弱颗粒含量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洛杉矶磨耗值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吸水率及表面含水率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坚固性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市政用细集料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含泥量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泥块含量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砂当量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坚固性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亚甲蓝值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棱角性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沥青混合料用矿粉</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筛分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塑性指数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亲水系数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无机结合料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无机结合料配合比验证(二灰/水稳）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包括级配合成、标准击实、无侧限、EDTA曲线</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结合料配合比设计(二灰/水稳）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4300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不包括原材料检测和包含混合料性能试验费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灰剂量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150∕250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细粒土/粗粒土</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标准击实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细粒土/粗粒土</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7天无侧限抗压强度（石灰土、二灰土）</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含制件费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试件养护费（石灰土、二灰土）</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7天无侧限抗压强度（二灰碎石、水稳碎石）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个</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含制件费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试件养护费（二灰碎石、水稳碎石）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EDTA标准曲线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细集料/粗集料</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混合料级配（筛分）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木质素纤维</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纤维长度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灰分含量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PH值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吸油率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格宾石龙网</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外观尺寸</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钢丝抗拉强度</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聚合物层力学性能</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网片拉伸强度</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镀层合金含量</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丝径测量</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表面质量</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塑料排水板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厚度、宽度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压曲强度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抗弯折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通水量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十一、建筑水电检测</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水电安装现场检测</w:t>
            </w: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管道严密性</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金属管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回路</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塑性管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回路</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排水管通球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系统</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96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线路绝缘电阻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回路</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56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回路</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308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接地电阻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管件、管材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状态调节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环柔性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烘箱试验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拉断伸长率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拉伸屈服强度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外观、规格尺寸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颜色</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纵向回缩率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简支梁冲击试验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维卡软化温度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扁平试验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弯曲度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承口中部平均内径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承口深度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二氯甲烷浸渍试验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落锤冲击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环向拉力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复合层间结合牢度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坠落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阀门</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壳体试验</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密封试验</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上密封试验</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电工套管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规格、尺寸检验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弯曲性能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弯扁性能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耐热性能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跌落性能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阻热性能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电气性能（绝缘强度、绝缘电阻）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插座</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正常操作</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防潮试验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电气强度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防触电保护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插拔力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分断容量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爬电距离和电器间隙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耐横向应力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机械强度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开关</w:t>
            </w:r>
          </w:p>
        </w:tc>
        <w:tc>
          <w:tcPr>
            <w:tcW w:w="1724" w:type="pct"/>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正常操作</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电器强度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防触电保护</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全项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通断能力</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机械强度</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爬电距离和电器间隙</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标志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线芯识别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线芯直径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平均外径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绝缘抗张强度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导体电阻试验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bdr w:val="single" w:color="000000" w:sz="4" w:space="0"/>
              </w:rPr>
              <w:drawing>
                <wp:anchor distT="0" distB="0" distL="114300" distR="114300" simplePos="0" relativeHeight="251659264" behindDoc="0" locked="0" layoutInCell="1" allowOverlap="1">
                  <wp:simplePos x="0" y="0"/>
                  <wp:positionH relativeFrom="column">
                    <wp:posOffset>524510</wp:posOffset>
                  </wp:positionH>
                  <wp:positionV relativeFrom="paragraph">
                    <wp:posOffset>219075</wp:posOffset>
                  </wp:positionV>
                  <wp:extent cx="635" cy="0"/>
                  <wp:effectExtent l="0" t="0" r="0" b="0"/>
                  <wp:wrapNone/>
                  <wp:docPr id="5" name="Line_1"/>
                  <wp:cNvGraphicFramePr/>
                  <a:graphic xmlns:a="http://schemas.openxmlformats.org/drawingml/2006/main">
                    <a:graphicData uri="http://schemas.openxmlformats.org/drawingml/2006/picture">
                      <pic:pic xmlns:pic="http://schemas.openxmlformats.org/drawingml/2006/picture">
                        <pic:nvPicPr>
                          <pic:cNvPr id="5" name="Line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rPr>
              <w:t>绝缘线芯电压试验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70℃时绝缘电阻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不延燃试验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护套厚度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绝缘电阻试验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绝缘热老化试验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护套热老化试验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345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拉力试验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给排水构筑物、管道</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水池渗水量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仅做满水试验 </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无压管道严密性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仅做闭水试验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电箱</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外观检查</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2000一组</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机械操作</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爬电距离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介电性能（电压试验）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电气间隙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128</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电缆</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电缆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1000/根蕊</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十四、防水材料</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147</w:t>
            </w:r>
          </w:p>
        </w:tc>
        <w:tc>
          <w:tcPr>
            <w:tcW w:w="6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防水涂料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天</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耐热度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5h </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粘结性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固体含量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不透水性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低温弯折性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适用时间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表干时间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实干时间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浆液固体体积比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耐腐蚀性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加热伸缩率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低温柔性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挥发率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恢复率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人工气候老化拉力强度保持率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4320/8000</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常规涂料540h，聚氨酯1000h   (8元/h,720h)</w:t>
            </w: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人工气候老化断裂伸长率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人工气候老化低温弯折性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rPr>
          <w:trHeight w:val="296" w:hRule="atLeast"/>
        </w:trPr>
        <w:tc>
          <w:tcPr>
            <w:tcW w:w="4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148</w:t>
            </w:r>
          </w:p>
        </w:tc>
        <w:tc>
          <w:tcPr>
            <w:tcW w:w="61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聚氨酯防水涂料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制样及养护费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抗渗性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流平性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低温弯折性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不透水性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固体含量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表干时间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实干时间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加热伸缩率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酸处理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潮湿基面粘结强度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50"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定伸时老化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1000/如不检测人工气候老化，此项目收费3000</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left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8000 </w:t>
            </w: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水泥基渗透结晶</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成型及养护费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柔韧性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氯离子含量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施工性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湿基面粘结强度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砂浆抗渗性能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混凝土抗渗性能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混凝土的第二次抗渗压力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防水剂总碱量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防水卷材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*成型、制样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扯断伸长率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钉杆撕裂强度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不透水性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与后浇混泥土剥离强度（无处理）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与后浇混泥土剥离强度（浸水处理）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与后浇混泥土剥离强度（泥沙污染表面）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与后浇混泥土剥离强度（热处理）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与后浇混泥土剥离强度（紫外线处理）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与水泥砂浆剥离强度（热处理）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与水泥砂浆浸水后剥离强度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与水泥砂浆剥离强度（无处理）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与后浇混泥土浸水后剥离强度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柔度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耐热性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耐热度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低温柔度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持粘性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渗油性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钉杆水密性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卷材防粘处理部位剥离强度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剥离强度（卷材与铝板）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卷材与卷材剥离强度搭接边（浸水处理）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卷材与卷材剥离强度搭接边（热处理）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卷材与卷材剥离强度搭接边（无处理）</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剥离强度（卷材与卷材）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可溶物含量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弹性恢复率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最大拉力时延伸率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抗穿刺强度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抗静态荷载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抗窜水性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66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耐化学腐蚀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3900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浸泡28天后检测6项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粘合性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抗穿孔性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膜断裂伸长率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体积膨胀倍率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热老化伸长率保持率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热老化保持率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168h</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热处理尺寸变化率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加热收缩率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单位面积浸涂料总量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尺寸变化率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自粘沥青再剥离强度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热老化尺寸稳定性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热老化最大拉力时延伸率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热老化低温弯折性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热老化低温柔性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热老化剥离强度（卷材与铝板）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热稳定性外观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低温弯折性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人工气候加速老化外观</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5760 </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8元/h,720h</w:t>
            </w: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人工气候加速老化拉力保持率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人工气候加速老化低温柔度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止水带</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耐高温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耐低温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含制样费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扯断伸长率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撕裂强度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压缩永久变形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300/1150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23℃/70℃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脆性温度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臭氧老化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热空气老化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橡胶与金属粘合</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遇水膨胀橡胶</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扯断伸长率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体积膨胀倍率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反复浸水试验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低温弯折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高温流淌性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防水毯</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单位面积质量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最大负荷下伸长率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剥离强度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吸蓝量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膨润土膨胀指数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渗透系数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耐静水压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滤失量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膨润土耐久性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十六、化学分析</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钢筋化学分析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硅</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38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水质分析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pH值</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不溶物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可溶物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氯化物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碱含量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硫酸盐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十七、基坑监测</w:t>
            </w:r>
          </w:p>
        </w:tc>
      </w:tr>
      <w:tr>
        <w:tblPrEx>
          <w:tblCellMar>
            <w:top w:w="0" w:type="dxa"/>
            <w:left w:w="108" w:type="dxa"/>
            <w:bottom w:w="0" w:type="dxa"/>
            <w:right w:w="108" w:type="dxa"/>
          </w:tblCellMar>
        </w:tblPrEx>
        <w:trPr>
          <w:trHeight w:val="815"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158</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水平位移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135/112/93/78</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一等/二等/三等/四等</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860"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159</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垂直位移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91/74/62/53</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一等/二等/三等/四等</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160</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应力应变监测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116（一测点传感器≤4个）</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超过4个每增加一个传感器递增29元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161</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水位监测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20/40/50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布点距离L(m）：L≤5/5﹤L≤10/L﹥10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162</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深层侧向位移监测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13/16/19</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孔深D(m）:D≤20/20﹤D≤40/D﹥40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24"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163</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土体回弹/分层沉降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观测点深度D(m）:D≤20/D﹥20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164</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建筑物裂缝监测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条*次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23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7"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165</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建筑物倾斜监测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920/1100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建筑物高度H(m）：H≤30/H﹥30</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15"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166</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孔隙水/土压力监测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点*次</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174（一测点传感器≤6个）</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超过6个每增加一个传感器递增29元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1035"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167</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监测技术工作费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主要是占观测费用的比例</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十八、建筑施工机械安装质量</w:t>
            </w: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施工机械安装质量</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高空作业吊篮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塔式起重机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25型、315型</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40型</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40型以上</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施工升降机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物料提升机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台</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十九、建筑能效测评和能源审计</w:t>
            </w: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169</w:t>
            </w:r>
          </w:p>
        </w:tc>
        <w:tc>
          <w:tcPr>
            <w:tcW w:w="234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建筑能效测评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平方米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2.5元/平米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（不足2万平米以2万平米计）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170</w:t>
            </w:r>
          </w:p>
        </w:tc>
        <w:tc>
          <w:tcPr>
            <w:tcW w:w="2341"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建筑能源审计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平方米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1.0元/平米</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（不足1万平米以1万平米计）</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二十、桥隧工程</w:t>
            </w:r>
          </w:p>
        </w:tc>
      </w:tr>
      <w:tr>
        <w:tblPrEx>
          <w:tblCellMar>
            <w:top w:w="0" w:type="dxa"/>
            <w:left w:w="108" w:type="dxa"/>
            <w:bottom w:w="0" w:type="dxa"/>
            <w:right w:w="108" w:type="dxa"/>
          </w:tblCellMar>
        </w:tblPrEx>
        <w:trPr>
          <w:trHeight w:val="105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桥梁结构</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测区、组 </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回弹法：45元/测区</w:t>
            </w:r>
          </w:p>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取芯法：900元/组</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桥梁检测车、脚手架等辅助设备另算</w:t>
            </w:r>
          </w:p>
        </w:tc>
      </w:tr>
      <w:tr>
        <w:tblPrEx>
          <w:tblCellMar>
            <w:top w:w="0" w:type="dxa"/>
            <w:left w:w="108" w:type="dxa"/>
            <w:bottom w:w="0" w:type="dxa"/>
            <w:right w:w="108" w:type="dxa"/>
          </w:tblCellMar>
        </w:tblPrEx>
        <w:trPr>
          <w:trHeight w:val="538"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缺陷（不密实区、空洞、裂缝）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处、m2</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雷达法：2000元/处</w:t>
            </w:r>
          </w:p>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超声法：980元/m2</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03"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静态应变（应力）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依据不同桥梁类型及跨径收费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03"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动态应变（应力）模态参数（频率、振型、阻尼比）、加速度、速度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依据不同桥梁类型及跨径收费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变形、位移、桥梁线形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1000元/组</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8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承载能力（不包含荷载试验）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孔</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小桥40000元/孔，中桥60000元/孔、大桥80000元/孔，特大桥根据实际情况另算</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伸缩缝</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模态参数（频率、振型、阻尼比）、加速度、速度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10000元/样</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承载能力（荷载试验）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20000元/样</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899"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桥梁技术状况</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座</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单次检测单座小桥5000元/座、单座中桥10000元/座、单座大桥20000元/座、单座特大桥50000元/座</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5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裂缝位置、长度、宽度、形态和数量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长度45元/处、宽度30元/处、深度130元/处</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构件尺寸、尺寸偏差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钢筋位置、钢筋直径、钢筋间距、钢筋数量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钢筋保护层厚度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混凝土碳化深度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混凝土中钢筋锈蚀情况</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45元/点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混凝土电阻率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隧道结构</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支护（衬砌）背后的回填密实度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21元/m</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现场所需登高等辅助设备需委托方提供，如需检测方提供，则费用另算</w:t>
            </w: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断面尺寸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20元/点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锚杆拉拔力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300元/根</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支护(衬砌)背后的空洞</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21元/m</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衬砌厚度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米</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21元/m</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钢筋及钢架位置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榀</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50元/榀</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隧道施工超前地质预报</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岩溶形态(位置、大小)</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次</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4000元/次</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断层破碎带断层破碎带规模</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涌水、突泥地段的位置、规模</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断层破碎带规模（深度）</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二十四、其它</w:t>
            </w:r>
          </w:p>
        </w:tc>
      </w:tr>
      <w:tr>
        <w:tblPrEx>
          <w:tblCellMar>
            <w:top w:w="0" w:type="dxa"/>
            <w:left w:w="108" w:type="dxa"/>
            <w:bottom w:w="0" w:type="dxa"/>
            <w:right w:w="108" w:type="dxa"/>
          </w:tblCellMar>
        </w:tblPrEx>
        <w:trPr>
          <w:trHeight w:val="7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校验</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千斤顶(200kN)</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每加10kN加1元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弹簧测力计、强张机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传感器</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钢管、脚手架扣件</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钢管（壁厚）</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钢管拉伸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顶托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03"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碗扣</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8000（8套）、13000（13套）、20000（20套）</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003"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盘扣</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9000（8套）、14600（13套）、22500（20套）</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*扣件式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4800（8套）、7800（13套）、12000（20套）</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镀锌、非镀锌钢管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镀锌层匀质性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外径壁厚偏差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镀锌层附着力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镀锌层厚度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木材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需测含水率，另加100元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需测含水率，另加100元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灌浆料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水泥净浆稠度（s）</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竖向膨胀率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泌水率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流动度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粒径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对钢筋的锈蚀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耐水性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充盈度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烟道</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体积密度 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抗弯性能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垂直承载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抗柔性冲击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8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耐火极限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1h起步，每增加0.5h增加3000元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203</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玻璃栏杆</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三个点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声测管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伸长率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抗弯曲性能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耐压扁性能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连接可靠性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密封性能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尺寸（外径、壁厚）</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压浆剂</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流动度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做“出机流动度”和“30分钟流动度”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泌水率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做“24h自由泌水率”和“3h毛细泌水率”</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7d强度.28d强度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24h自由膨胀率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方法同“24h自由泌水率”</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抗折</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钢纤维混凝土用钢纤维</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长度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(测量10根)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等效直径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(测量10根)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长径比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上述10根+10根结果的计算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600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抗拉10根（GB/T228）</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弯折性能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弯10根（直径3mm弯90度）</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管片螺栓</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*盐雾试验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小时</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30/h</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480小时收14400元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480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480∕200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弯螺栓∕直螺栓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20/h</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弯螺栓∕直螺栓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35/h</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弯螺栓∕直螺栓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30/h</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弯螺栓∕直螺栓</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型式检验</w:t>
            </w:r>
          </w:p>
        </w:tc>
        <w:tc>
          <w:tcPr>
            <w:tcW w:w="105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机械连接型检</w:t>
            </w: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rPr>
              <w:t>φ≤25mm）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05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φ≥28mm）</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铝合金窗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塑钢窗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混凝土多孔砖（非承重）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6260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混凝土多孔砖（承重）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6320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烧结多孔砖（煤矸石）</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2280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轻集料混凝土小型空心砌块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6560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普通混凝土小型空心砌块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3070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蒸压加气混凝土砌块</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3440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保温系统型式检验（包括原材料）</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包括原材料型式检验</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529"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预制实心方桩</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1组10根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预制叠合板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10900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预制叠合梁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12900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预制楼梯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3900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隔墙板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外墙板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安全网</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阻燃性、耐贯穿性能、抗冲击性能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（系）绳断裂强力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断裂强力*断裂伸长</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梯形法撕裂强力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开眼环扣强力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122"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210</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安全带</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整体静态负荷、整体动态负荷、整体滑移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安全帽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耐冲击性能、耐穿刺性能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9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垂直间距、佩戴高度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预制构件</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外观质量及几何尺寸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一组3块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混凝土强度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一组5块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钢筋配置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一组5块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结构性能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9000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一组1块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吊装孔抗拔力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隔声测量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节点螺栓连接</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一组3块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耐火极限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213</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栏杆水平推力</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214</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大体积混凝土测温</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不满500方均按照10000收</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215</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热桥内表面温度</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216</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隔热性能</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现场围护结构实体</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现场抹灰拉拔粘结强度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一组7块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现场保温板拉拔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块</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一组5块</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现场锚栓拉拔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一组5个点</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耐火极限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垂直构件耐火极限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1h起步，每增加0.5h增加3000元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玻璃</w:t>
            </w:r>
          </w:p>
        </w:tc>
      </w:tr>
      <w:tr>
        <w:tblPrEx>
          <w:tblCellMar>
            <w:top w:w="0" w:type="dxa"/>
            <w:left w:w="108" w:type="dxa"/>
            <w:bottom w:w="0" w:type="dxa"/>
            <w:right w:w="108" w:type="dxa"/>
          </w:tblCellMar>
        </w:tblPrEx>
        <w:trPr>
          <w:trHeight w:val="1205"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钢结构防火涂料耐火极限</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（GB14907-2002）17000元（GB14907-2018）34000元</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1h起步，每增加0.5h增加3000元</w:t>
            </w: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人造板材</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抗冲击性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色泽稳定性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胶合强度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板内密度偏差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表面耐水蒸气</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表面耐磨</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表面耐污染</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吸水厚度膨胀率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表面耐划痕</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浸渍剥离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静曲强度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附着力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附框</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静曲强度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握螺钉力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高低温尺寸变化率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连接角最大破坏力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耐候性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截面厚度方向热阻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吸水厚度膨胀率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耐高温性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弯曲弹性模量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加热后尺寸变化</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加热后状态</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低温落锤冲击</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甲醛释放量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角强度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221</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窗地面积比</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222</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采光系数</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223</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周围环境噪声</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1"/>
                <w:szCs w:val="21"/>
                <w:highlight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窗帘-织物</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氧指数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1800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垂直燃烧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225</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铺地材料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20s焰尖高度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临界热辐射通量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饰面型防火涂料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难燃性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5000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耐燃时间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碳化体积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质量损失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金属材料和制品</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低倍检验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显微组织检验与晶粒度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脱碳层检验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房检-钢结构</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节点承载力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1200</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连接焊缝拉力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尺寸与偏差</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杆件的不平直度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钢网架的挠度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涂层附着力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缺陷（气孔、夹渣、未熔合、未焊透）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表面温度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钢板锈蚀</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组</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水利-金属结构</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锻铸件外部质量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焊缝外观质量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二类焊缝内部质量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表面清洁度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涂料涂层质量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锻铸件表面缺陷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钢板表面缺陷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焊缝表面缺陷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焊缝内部缺陷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涂料涂层厚度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涂料涂层附着力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230</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水利-金属结构制造安装质量检测</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常规尺寸及位置检测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表面缺陷深度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温度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湿度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角度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几何尺寸</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表面缺陷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水压试验</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231</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水利-各式启闭机与清污机</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里氏硬度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主梁上拱度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上翘度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挠度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行程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压力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钢丝绳缺陷</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232</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水利-钢丝绳</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破断拉力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断丝</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变形</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233</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自流平</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流动度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尺寸变化率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耐磨性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234</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隔声毡</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235</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灌浆套筒连接接头</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抗拉强度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236</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陶粒</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堆积密度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130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密度等级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筒压强度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吸水率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软化系数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含泥量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泥块含量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400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有机物含量</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沸煮质量损失</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颗粒级配</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237</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聚合物防水砂浆</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凝结时间</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抗渗压力</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柔韧性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抗冻性</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收缩率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94"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220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238</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紫铜片止水</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拉伸强度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延伸率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200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冷弯</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55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239</w:t>
            </w:r>
          </w:p>
        </w:tc>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钢结构防火涂料</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抗压强度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296"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粘结强度</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700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成型养护</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150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240</w:t>
            </w:r>
          </w:p>
        </w:tc>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隔声板</w:t>
            </w:r>
          </w:p>
        </w:tc>
        <w:tc>
          <w:tcPr>
            <w:tcW w:w="172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吸声系数</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项</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8000 </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c>
          <w:tcPr>
            <w:tcW w:w="4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1"/>
                <w:szCs w:val="21"/>
                <w:highlight w:val="none"/>
              </w:rPr>
            </w:pPr>
          </w:p>
        </w:tc>
      </w:tr>
    </w:tbl>
    <w:p>
      <w:pPr>
        <w:spacing w:line="360" w:lineRule="auto"/>
        <w:contextualSpacing/>
        <w:rPr>
          <w:rFonts w:hint="eastAsia" w:ascii="仿宋" w:hAnsi="仿宋" w:eastAsia="仿宋" w:cs="仿宋"/>
          <w:b/>
          <w:i/>
          <w:color w:val="auto"/>
          <w:sz w:val="24"/>
          <w:highlight w:val="none"/>
        </w:rPr>
      </w:pPr>
    </w:p>
    <w:p>
      <w:pPr>
        <w:pStyle w:val="6"/>
        <w:numPr>
          <w:ilvl w:val="0"/>
          <w:numId w:val="1"/>
        </w:numPr>
        <w:ind w:firstLineChars="0"/>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技术要求</w:t>
      </w:r>
    </w:p>
    <w:p>
      <w:pPr>
        <w:spacing w:line="360" w:lineRule="auto"/>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 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1.质量等级要求：满足现行质量验收规范、现行质检验收规定、工程质量合格目标。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2.检测标准：按国家及省、市相关标准规定执行。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3.所有检测均应符合现行的国家检测标准并按照建设工程验收规范要求进行检测。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在自身检测资质范围内从事工程检测工作，超出资质范围的检测必须由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委托具备资质的单位进行，但</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委托其他单位前应经过</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、项目管理（如有）书面同意。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5.本项目检测内容和数量由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确定，以实际发生检测工作量计，工作量需由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、项目管理（如有）、监理、跟踪审计及</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共同签字认可。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需及时与工程监理方、施工方配合按照施工进度进行检测，收样、试验、提供报告（已考虑节假日等不利因素）不得拖延，影响工程施工进度。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7.按国家规范标准进行检测，确保检测结果科学、准确、公正、及时。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8.及时提供检测报告及相关信息，为</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提供优质服务。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9.出现不合格情况及时通报</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，不得拖延。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在施工单位提出检测要求后，在一天之内进场检测，并且自行解决办公室及材料间问题。检测完成当天，必须上报检测结果（电话或其他形式）。</w:t>
      </w:r>
    </w:p>
    <w:p>
      <w:pPr>
        <w:pStyle w:val="6"/>
        <w:adjustRightInd w:val="0"/>
        <w:spacing w:line="360" w:lineRule="auto"/>
        <w:ind w:firstLine="426" w:firstLineChars="177"/>
        <w:contextualSpacing/>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1.11</w:t>
      </w:r>
      <w:r>
        <w:rPr>
          <w:rFonts w:hint="eastAsia" w:ascii="仿宋" w:hAnsi="仿宋" w:eastAsia="仿宋" w:cs="仿宋"/>
          <w:b/>
          <w:bCs/>
          <w:color w:val="auto"/>
          <w:kern w:val="0"/>
          <w:sz w:val="24"/>
          <w:szCs w:val="24"/>
          <w:highlight w:val="none"/>
          <w:lang w:val="en-US" w:eastAsia="zh-CN" w:bidi="ar-SA"/>
        </w:rPr>
        <w:t>项目组成员（除项目负责人外）共须配备3名持检测上岗证的检测人员。</w:t>
      </w:r>
    </w:p>
    <w:p>
      <w:pPr>
        <w:numPr>
          <w:ilvl w:val="0"/>
          <w:numId w:val="0"/>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highlight w:val="none"/>
        </w:rPr>
        <w:t>检测依据及数量</w:t>
      </w:r>
    </w:p>
    <w:p>
      <w:pPr>
        <w:numPr>
          <w:ilvl w:val="0"/>
          <w:numId w:val="0"/>
        </w:num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所有检测均应符合现行的国家检测标准并按照建设工程验收规范要求进行检测；</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乙方在自身检测资质范围内从事工程检测工作，超出资质范围的检测必须由乙方委托具备资质的单位进行，但乙方委托其他单位前应经过甲方、项目管理（如有）书面同意。</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本项目检测内容和数量由甲方确定，以实际发生检测工作量计，工作量需由甲方、项目管理（如有）、监理、跟踪审计及乙方共同签字认可。</w:t>
      </w:r>
    </w:p>
    <w:p>
      <w:pPr>
        <w:numPr>
          <w:ilvl w:val="0"/>
          <w:numId w:val="0"/>
        </w:numPr>
        <w:spacing w:line="360" w:lineRule="auto"/>
        <w:contextualSpacing w:val="0"/>
        <w:rPr>
          <w:rFonts w:hint="eastAsia" w:ascii="仿宋" w:hAnsi="仿宋" w:eastAsia="仿宋" w:cs="仿宋"/>
          <w:b/>
          <w:bCs/>
          <w:color w:val="auto"/>
          <w:kern w:val="2"/>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2"/>
          <w:sz w:val="24"/>
          <w:highlight w:val="none"/>
        </w:rPr>
        <w:t>主要试验项目承诺日期</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7"/>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w:t>
            </w:r>
          </w:p>
        </w:tc>
        <w:tc>
          <w:tcPr>
            <w:tcW w:w="5039"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承诺日期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砼配合比设计</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含原材料配合比试块到期日＋2天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抗压</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到期日＋1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抗折</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到期日＋1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抗渗</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到期日＋4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细集料</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收样日＋3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粗集料</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收样日＋3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砂浆配合比设计</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不含原材料试验配合比试块到期日＋2天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砂浆抗压</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到期日＋1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砖</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收样日＋5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水泥</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收样日＋32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钢筋</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沥青</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沥青混合料</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收样日＋3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沥青砼压实度</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现场检测日＋4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环刀法</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现场检测日＋1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灌砂法</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现场检测日＋2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灰剂量</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现场检测日＋1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无侧限抗压</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收样日＋10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击实</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收样日＋4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石灰剂量标准曲线</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收样日＋6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石灰钙镁含量</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粉煤灰</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收样日＋3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回弹法测强</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回弹法测强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现场检测日＋2天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noWrap w:val="0"/>
            <w:vAlign w:val="center"/>
          </w:tcPr>
          <w:p>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弯沉</w:t>
            </w:r>
          </w:p>
        </w:tc>
        <w:tc>
          <w:tcPr>
            <w:tcW w:w="5039" w:type="dxa"/>
            <w:noWrap w:val="0"/>
            <w:vAlign w:val="center"/>
          </w:tcPr>
          <w:p>
            <w:pPr>
              <w:spacing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现场检测日＋2 天</w:t>
            </w:r>
          </w:p>
        </w:tc>
      </w:tr>
    </w:tbl>
    <w:p>
      <w:pPr>
        <w:spacing w:line="360" w:lineRule="auto"/>
        <w:rPr>
          <w:rFonts w:hint="eastAsia" w:ascii="仿宋" w:hAnsi="仿宋" w:eastAsia="仿宋" w:cs="仿宋"/>
          <w:color w:val="auto"/>
          <w:sz w:val="24"/>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7E49453A"/>
    <w:rsid w:val="7E49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kern w:val="0"/>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 w:type="character" w:customStyle="1" w:styleId="7">
    <w:name w:val="font61"/>
    <w:basedOn w:val="5"/>
    <w:autoRedefine/>
    <w:qFormat/>
    <w:uiPriority w:val="0"/>
    <w:rPr>
      <w:rFonts w:hint="eastAsia" w:ascii="宋体" w:hAnsi="宋体" w:eastAsia="宋体" w:cs="宋体"/>
      <w:color w:val="000000"/>
      <w:sz w:val="20"/>
      <w:szCs w:val="20"/>
      <w:u w:val="none"/>
    </w:rPr>
  </w:style>
  <w:style w:type="character" w:customStyle="1" w:styleId="8">
    <w:name w:val="font71"/>
    <w:basedOn w:val="5"/>
    <w:autoRedefine/>
    <w:qFormat/>
    <w:uiPriority w:val="0"/>
    <w:rPr>
      <w:rFonts w:hint="eastAsia" w:ascii="宋体" w:hAnsi="宋体" w:eastAsia="宋体" w:cs="宋体"/>
      <w:color w:val="000000"/>
      <w:sz w:val="20"/>
      <w:szCs w:val="20"/>
      <w:u w:val="none"/>
      <w:vertAlign w:val="superscript"/>
    </w:rPr>
  </w:style>
  <w:style w:type="character" w:customStyle="1" w:styleId="9">
    <w:name w:val="font31"/>
    <w:basedOn w:val="5"/>
    <w:autoRedefine/>
    <w:qFormat/>
    <w:uiPriority w:val="0"/>
    <w:rPr>
      <w:rFonts w:ascii="Arial Unicode MS" w:hAnsi="Arial Unicode MS" w:eastAsia="Arial Unicode MS" w:cs="Arial Unicode MS"/>
      <w:color w:val="000000"/>
      <w:sz w:val="20"/>
      <w:szCs w:val="20"/>
      <w:u w:val="none"/>
    </w:rPr>
  </w:style>
  <w:style w:type="character" w:customStyle="1" w:styleId="10">
    <w:name w:val="font51"/>
    <w:basedOn w:val="5"/>
    <w:autoRedefine/>
    <w:qFormat/>
    <w:uiPriority w:val="0"/>
    <w:rPr>
      <w:rFonts w:hint="eastAsia" w:ascii="仿宋" w:hAnsi="仿宋" w:eastAsia="仿宋" w:cs="仿宋"/>
      <w:color w:val="000000"/>
      <w:sz w:val="22"/>
      <w:szCs w:val="22"/>
      <w:u w:val="none"/>
    </w:rPr>
  </w:style>
  <w:style w:type="character" w:customStyle="1" w:styleId="11">
    <w:name w:val="font91"/>
    <w:basedOn w:val="5"/>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2024-04-29T09:45:00Z</dcterms:created>
  <dc:creator>左学文</dc:creator>
  <cp:lastModifiedBy>左学文</cp:lastModifiedBy>
  <dcterms:modified xsi:type="dcterms:W3CDTF">2024-04-29T09:45:51Z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060C3DAC83BA48B2A83E954FB4A76A62_11</vt:lpwstr>
  </property>
</Properties>
</file>