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43"/>
        <w:gridCol w:w="6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技术要求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围网</w:t>
            </w:r>
          </w:p>
        </w:tc>
        <w:tc>
          <w:tcPr>
            <w:tcW w:w="6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单片框架式场地围网性能及技术要求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：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①单片场地尺寸: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详见图纸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②框架:围网立柱采用(Q235B材质)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*80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mm，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bidi="ar"/>
              </w:rPr>
              <w:t>管壁厚度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bidi="ar"/>
              </w:rPr>
              <w:t>mm的镀锌管，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围网采用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u型耳连接立柱框架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，现场立柱预埋后安装网片，立柱选用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水钻打孔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地埋固定方式，围网框架采用(Q235B材质)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*60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3mm的优质U形方管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bidi="ar"/>
              </w:rPr>
              <w:t>镀锌管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，立柱间隔3m，所有管材表面经过静电粉末喷塑处理，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主立柱为橙色、其他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为墨绿色。立柱埋入地下深度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00mm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，打孔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尺寸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bidi="ar"/>
              </w:rPr>
              <w:t>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110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，水泥地钻孔灌注C3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0混凝土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③围网:围网带有两个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m宽、2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m高的双开式框架进出口，带有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1.2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m宽、2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m高的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开式框架进出口，带有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1.4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m宽、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1.4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、2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m高的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旋转式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进出口。围网网片使用压框覆盖包塑网，防止刮伤。围网全部采用防盗不锈钢螺栓，并采用防松螺母防松方式，保证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连接牢靠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。立柱与连接横管采用固态粉静电喷涂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工艺，颜色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为墨绿色，色泽保持八年不变，围网风载荷标准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0.35Kn/m2。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④网丝: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bidi="ar"/>
              </w:rPr>
              <w:t>包塑网片丝浸塑处理后网片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bidi="ar"/>
              </w:rPr>
              <w:t>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≥5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bidi="ar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,采用优质低碳镀锌钢丝，处理前丝径Ф3mm，网孔50mm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bidi="ar"/>
              </w:rPr>
              <w:t>50mm，勾花网，受到撞击后可迅速恢复原形，并有效保护使用者在撞击围网时不受伤害;颜色为墨绿色，表面光滑细腻，吸水率为0%。围网孔径与运动功能相适应，具有防止球脱出的功能。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195E2E82"/>
    <w:rsid w:val="195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2024-06-04T01:29:00Z</dcterms:created>
  <dc:creator>左学文</dc:creator>
  <cp:lastModifiedBy>左学文</cp:lastModifiedBy>
  <dcterms:modified xsi:type="dcterms:W3CDTF">2024-06-04T01:29:28Z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6AFAF02B132C418FB5F8957DAD93ED7E_11</vt:lpwstr>
  </property>
</Properties>
</file>